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1124" w:firstLineChars="400"/>
        <w:jc w:val="both"/>
        <w:rPr>
          <w:rFonts w:hint="eastAsia" w:eastAsiaTheme="majorEastAsia"/>
          <w:lang w:val="en-US" w:eastAsia="zh-CN"/>
        </w:rPr>
      </w:pPr>
      <w:bookmarkStart w:id="0" w:name="_Toc435115054"/>
      <w:bookmarkStart w:id="1" w:name="_Toc195024593"/>
      <w:bookmarkStart w:id="2" w:name="_Toc435514849"/>
      <w:bookmarkStart w:id="3" w:name="_Toc13067020"/>
      <w:r>
        <w:rPr>
          <w:rFonts w:hint="eastAsia" w:asciiTheme="majorEastAsia" w:hAnsiTheme="majorEastAsia" w:eastAsiaTheme="majorEastAsia" w:cstheme="majorEastAsia"/>
          <w:b/>
          <w:bCs/>
          <w:sz w:val="28"/>
          <w:szCs w:val="28"/>
          <w:lang w:val="en-US" w:eastAsia="zh-CN"/>
        </w:rPr>
        <w:t>汕头市档案馆及侨批分馆（侨批文物馆）</w:t>
      </w:r>
      <w:r>
        <w:rPr>
          <w:rFonts w:hint="eastAsia" w:asciiTheme="majorEastAsia" w:hAnsiTheme="majorEastAsia" w:eastAsiaTheme="majorEastAsia" w:cstheme="majorEastAsia"/>
          <w:b/>
          <w:bCs/>
          <w:sz w:val="28"/>
          <w:szCs w:val="28"/>
        </w:rPr>
        <w:t>采购需求</w:t>
      </w:r>
      <w:bookmarkEnd w:id="0"/>
      <w:bookmarkEnd w:id="1"/>
      <w:bookmarkEnd w:id="2"/>
      <w:bookmarkEnd w:id="3"/>
      <w:r>
        <w:rPr>
          <w:rFonts w:hint="eastAsia" w:asciiTheme="majorEastAsia" w:hAnsiTheme="majorEastAsia" w:eastAsiaTheme="majorEastAsia" w:cstheme="majorEastAsia"/>
          <w:b/>
          <w:bCs/>
          <w:sz w:val="28"/>
          <w:szCs w:val="28"/>
          <w:lang w:val="en-US" w:eastAsia="zh-CN"/>
        </w:rPr>
        <w:t>书</w:t>
      </w:r>
    </w:p>
    <w:p>
      <w:pPr>
        <w:pStyle w:val="2"/>
        <w:spacing w:before="120" w:after="120"/>
        <w:rPr>
          <w:rFonts w:asciiTheme="minorEastAsia" w:hAnsiTheme="minorEastAsia" w:eastAsiaTheme="minorEastAsia" w:cstheme="minorEastAsia"/>
        </w:rPr>
      </w:pPr>
      <w:bookmarkStart w:id="4" w:name="_Toc195024594"/>
      <w:r>
        <w:rPr>
          <w:rFonts w:hint="eastAsia" w:asciiTheme="minorEastAsia" w:hAnsiTheme="minorEastAsia" w:eastAsiaTheme="minorEastAsia" w:cstheme="minorEastAsia"/>
        </w:rPr>
        <w:t>一、项目基本情况</w:t>
      </w:r>
      <w:bookmarkEnd w:id="4"/>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（一）汕头市档案馆基本情况</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汕头市档案馆位于龙湖区汕汾路12号，建设面积约15137.48平方米。共有建筑主楼1幢，主楼为地下1层、地上13层，分别设置会议厅，报告厅、业务技术用房、档案修裱和档案数字化加工场所、档案查阅利用大厅、档案展厅等。</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汕头市档案馆入驻办公单位共有1个，办公人数约34人。</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（二）汕头市档案馆侨批分馆（侨批文物馆）基本情况</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汕头市档案馆侨批分馆（侨批文物馆）位于汕头市外马路18号，占地面积600平</w:t>
      </w:r>
      <w:bookmarkStart w:id="18" w:name="_GoBack"/>
      <w:bookmarkEnd w:id="18"/>
      <w:r>
        <w:rPr>
          <w:rFonts w:hint="eastAsia" w:asciiTheme="minorEastAsia" w:hAnsiTheme="minorEastAsia" w:eastAsiaTheme="minorEastAsia" w:cstheme="minorEastAsia"/>
          <w:iCs/>
          <w:sz w:val="24"/>
        </w:rPr>
        <w:t>方米，建设面积约1200平方米。共有建筑主楼1幢，3层，分别设置展厅，会议室、业务技术用房等。</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汕头市档案馆入驻办公单位共有1个，办公人数约12人。</w:t>
      </w:r>
    </w:p>
    <w:p>
      <w:pPr>
        <w:pStyle w:val="2"/>
        <w:spacing w:before="120" w:after="120"/>
        <w:rPr>
          <w:rFonts w:asciiTheme="minorEastAsia" w:hAnsiTheme="minorEastAsia" w:eastAsiaTheme="minorEastAsia" w:cstheme="minorEastAsia"/>
        </w:rPr>
      </w:pPr>
      <w:bookmarkStart w:id="5" w:name="_Toc195024595"/>
      <w:r>
        <w:rPr>
          <w:rFonts w:hint="eastAsia" w:asciiTheme="minorEastAsia" w:hAnsiTheme="minorEastAsia" w:eastAsiaTheme="minorEastAsia" w:cstheme="minorEastAsia"/>
        </w:rPr>
        <w:t>二、服务时间</w:t>
      </w:r>
      <w:bookmarkEnd w:id="5"/>
    </w:p>
    <w:p>
      <w:pPr>
        <w:widowControl/>
        <w:wordWrap w:val="0"/>
        <w:adjustRightInd/>
        <w:spacing w:line="360" w:lineRule="auto"/>
        <w:ind w:firstLine="480" w:firstLineChars="200"/>
        <w:jc w:val="left"/>
        <w:textAlignment w:val="auto"/>
        <w:rPr>
          <w:rFonts w:hint="eastAsia" w:asciiTheme="minorEastAsia" w:hAnsiTheme="minorEastAsia" w:eastAsiaTheme="minorEastAsia" w:cstheme="minorEastAsia"/>
          <w:iCs/>
          <w:sz w:val="24"/>
        </w:rPr>
      </w:pPr>
      <w:r>
        <w:rPr>
          <w:rFonts w:asciiTheme="minorEastAsia" w:hAnsiTheme="minorEastAsia" w:eastAsiaTheme="minorEastAsia" w:cstheme="minorEastAsia"/>
          <w:iCs/>
          <w:sz w:val="24"/>
        </w:rPr>
        <w:t>自合同签订之日起</w:t>
      </w:r>
      <w:r>
        <w:rPr>
          <w:rFonts w:hint="eastAsia" w:asciiTheme="minorEastAsia" w:hAnsiTheme="minorEastAsia" w:eastAsiaTheme="minorEastAsia" w:cstheme="minorEastAsia"/>
          <w:iCs/>
          <w:sz w:val="24"/>
        </w:rPr>
        <w:t>1年。</w:t>
      </w:r>
    </w:p>
    <w:p>
      <w:pPr>
        <w:pStyle w:val="2"/>
        <w:spacing w:before="120" w:after="120"/>
        <w:rPr>
          <w:rFonts w:asciiTheme="minorEastAsia" w:hAnsiTheme="minorEastAsia" w:eastAsiaTheme="minorEastAsia" w:cstheme="minorEastAsia"/>
        </w:rPr>
      </w:pPr>
      <w:bookmarkStart w:id="6" w:name="_Toc195024596"/>
      <w:r>
        <w:rPr>
          <w:rFonts w:asciiTheme="minorEastAsia" w:hAnsiTheme="minorEastAsia" w:eastAsiaTheme="minorEastAsia" w:cstheme="minorEastAsia"/>
        </w:rPr>
        <w:t>三、</w:t>
      </w:r>
      <w:r>
        <w:rPr>
          <w:rFonts w:hint="eastAsia" w:asciiTheme="minorEastAsia" w:hAnsiTheme="minorEastAsia" w:eastAsiaTheme="minorEastAsia" w:cstheme="minorEastAsia"/>
        </w:rPr>
        <w:t>服务内容</w:t>
      </w:r>
      <w:bookmarkEnd w:id="6"/>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（一）汕头市档案馆服务内容</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1、服务内容：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（1）环境卫生管理；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（2）供电照明管理；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（3）保安秩序管理及消防、自然灾害等突发事件应急处置；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（4）后勤保障管理；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（5）辖区房屋、道路、给排水设施维护；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（6）楼内公用设施设备维护；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（7）职工食堂管理。</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2、其他服务及专项服务：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（1）办公楼外窗及玻璃幕墙保洁、楼内所有地毯进行定期清洁、清洗服务，做好雨、污管网日常清理。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（2）除四害服务（灭鼠、灭蟑螂、灭蚊、灭蝇）。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（3）日常绿化管养。</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（4）委托第三方环卫公司对日常生活垃圾和餐厨垃圾进行清运处理。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（5）负责提供日常性清洁易耗品：清洁用具（垃圾斗、垃圾袋、毛巾、拖把、扫把、手套、玻璃刮条等物料）；清洁用品（洗洁精、消毒水、洁厕剂等）；手纸、抽纸等物料。</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（6）负责配置服务人员工作服：保安服，保洁服，电工、绿化劳保服，厨师服，前台、会务职业装。</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（7）配置安保器械：对讲机、强光手电、防爆盾、钢叉、警棍、防刺背心、防爆头盔。</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采购人负责免费提供派驻值班人员的办公场所。日常办公、机电、保洁、保安等服务所产生的易耗品及必需品由中标人负责，中标人每个月统计易耗品损耗情况并自行采购补给。</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（二）汕头市档案馆侨批分馆（侨批文物馆）服务内容</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1、服务内容：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（1）环境卫生管理；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（2）供电照明管理；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（3）保安秩序管理及消防、自然灾害等突发事件应急处置；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（4）后勤保障管理；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（5）辖区房屋、道路、给排水设施维护；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w:t>
      </w:r>
      <w:r>
        <w:rPr>
          <w:rFonts w:hint="eastAsia" w:asciiTheme="minorEastAsia" w:hAnsiTheme="minorEastAsia" w:eastAsiaTheme="minorEastAsia" w:cstheme="minorEastAsia"/>
          <w:bCs/>
          <w:iCs/>
          <w:sz w:val="24"/>
        </w:rPr>
        <w:t>楼内公用设施设备维护</w:t>
      </w:r>
      <w:r>
        <w:rPr>
          <w:rFonts w:hint="eastAsia" w:asciiTheme="minorEastAsia" w:hAnsiTheme="minorEastAsia" w:eastAsiaTheme="minorEastAsia" w:cstheme="minorEastAsia"/>
          <w:iCs/>
          <w:sz w:val="24"/>
        </w:rPr>
        <w:t>。</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2、其他服务及专项服务：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（1）办公楼外窗及玻璃幕墙保洁。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（2）办公楼内清洁、清洗服务，做好雨、污管网日常清理。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（3）除四害服务（灭鼠、灭蟑螂、灭蚊、灭蝇）。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（4）负责提供日常性清洁易耗品：清洁用具（垃圾斗、垃圾袋、毛巾、拖把、扫把、手套、玻璃刮条等物料）；清洁用品（洗洁精、消毒水、洁厕剂等）；手纸、抽纸等物料。</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（5）负责配置服务人员工作服：保安服，保洁服，电工、绿化劳保服，厨师服，前台、会务职业装。</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（6）配置安保器械：对讲机、强光手电、防爆盾、钢叉、警棍、防刺背心、防爆头盔。</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采购人负责免费提供派驻值班人员的办公和休息场所。日常办公、机电、保洁、保安、会场服务等服务所产生的易耗品及必需品由中标人负责，中标人每个月统计易耗品损耗情况并自行采购补给。</w:t>
      </w:r>
    </w:p>
    <w:p>
      <w:pPr>
        <w:pStyle w:val="2"/>
        <w:spacing w:before="120" w:after="120"/>
        <w:rPr>
          <w:rFonts w:asciiTheme="minorEastAsia" w:hAnsiTheme="minorEastAsia" w:eastAsiaTheme="minorEastAsia" w:cstheme="minorEastAsia"/>
        </w:rPr>
      </w:pPr>
      <w:bookmarkStart w:id="7" w:name="_Toc195024597"/>
      <w:bookmarkStart w:id="8" w:name="_Toc13067024"/>
      <w:bookmarkStart w:id="9" w:name="_Toc435514851"/>
      <w:bookmarkStart w:id="10" w:name="_Toc435115056"/>
      <w:r>
        <w:rPr>
          <w:rFonts w:hint="eastAsia" w:asciiTheme="minorEastAsia" w:hAnsiTheme="minorEastAsia" w:eastAsiaTheme="minorEastAsia" w:cstheme="minorEastAsia"/>
        </w:rPr>
        <w:t>四、服务要求及标准</w:t>
      </w:r>
      <w:bookmarkEnd w:id="7"/>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总体要求：物业管理服务企业进行服务管理，要按照国家物业管理标准，建立《ISO9001质量管理体系》《ISO14001环境管理体系》《ISO45001职业健康安全管理体系》，严格按照体系规定的作业指导书进行操作，建立维修服务回访、公共清洁保洁、综合服务满意率、公共照明完好率等综合评价制度，将服务满意率与服务收费挂钩进行考核。</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（一）汕头市档案馆服务要求及标准</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1、环境卫生管理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1.1服务内容：为保持馆内各楼层公共区域、库房、展厅及办公室内等环境清洁以及绿化而进行的日常管理工作。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1.2服务要求及标准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1.2.1公共区域卫生保洁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公共区域包括馆内的办公楼大厅、大门、楼道、楼梯、围墙、道路、办公大厅及上述部位内所有设施用品和饰物等。</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（1）清理服务范围内的所有垃圾，对垃圾进行分类回收。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（2）收集及清理所有垃圾箱和花槽内的垃圾；</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（3）清洁所有窗户及指示牌。</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（4）清洁所有花盆及植物。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（5）清洁所有出入口、大门及门牌。</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（6）清除所有手印及污渍，包括楼梯墙壁。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（7）清洁所有扶手、栏杆及玻璃表面。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 xml:space="preserve">（8）清扫所有通风窗口。 </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（9）清扫空调风口百叶及照明灯片。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（10）拖擦地、台表面。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（11）清洁所有楼梯、走廊及窗户。</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（12）清洁所有灯饰。</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（13）清扫、洗刷大厅入口地台及梯级。</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（14）擦净入口大厅内墙壁表面和所有玻璃门窗及设施。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（15）清扫大厅天花板尘埃。</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（16）定期投放喷洒鼠、蟑螂、蚊蝇药物。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（17）清洁车库地面、墙面、棚面设施。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（1）地面光亮无水迹、污迹，无尘物。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（2）楼梯、走廊、指示牌、门牌、通风窗口、地角线、墙壁、柱子、顶板无尘和无污物。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（3）垃圾筒内垃圾必须当天清理，确保不超过1/2，并摆放整齐，外观干净。</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（4）花盆外观干净，花叶无尘土，花盆内无杂物。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（5）玻璃、门窗无污迹、水迹、裂痕，有明显安全标志。</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（6）厅堂内无蚊蝇。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（7）灯饰和其它饰物无尘土、破损。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（8）大厅入口地台、梯级、墙壁表面、所有玻璃门窗及设施无尘土，大理石墙面光亮、无污迹、水迹。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（9）大厅天花板无尘埃。</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（10）无鼠害、无蚊蝇、无蟑螂。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1.2.2公共卫生间保洁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（1）擦净所有门、天花板。</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（2）擦、冲及洗净所有洗手间设备。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（3）擦净所有洗手间镜面。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（4）擦净地、台表面。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（5）天花板及照明设备表面除尘。</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（6）擦净排气扇。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（7）及时补充清洁液和卫生纸等日常消耗品。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（8）清理卫生桶脏物。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（9）清洁卫生洁具。</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（1）门、窗、天花板、墙壁、隔板无尘物、无污迹、无尘物。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（2）玻璃、镜面明亮无水迹。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（3）地面墙角无尘、无污迹、无杂物、无蛛网、无水迹。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（4）地面、水龙头、弯管、马桶座及盖、水箱等无污迹、无污物，电镀件明亮。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（5）便池无尘、无污迹、无杂物，小便池内香球不少于1/2个，并及时更换。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（6）桶内垃圾不超1/2即清理。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（7）设备（烘手器、灯、开关、暧气、通风口、门锁等）无尘、无污迹。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（8）空气清新、无异味。</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（9）墩布间干净、整洁、无杂物，物品码放整齐，不囤积。</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1.2.3电梯间保洁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（1）扫净及清擦电梯门表面。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（2）擦净电梯内壁、门及指示。</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（3）电梯天花板表面除尘。</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（4）电梯门缝吸尘。</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（5）擦净电梯通风及照明。</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（6）电梯表面涂保护膜。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（7）清理电梯槽底垃圾。</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（8）擦净电梯大堂、走廊表面。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（1）电梯门表面、轿箱内壁、指示牌无尘土、印迹，表面光亮。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（2）电梯天花板、门缝无尘土。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（3）电梯井道、槽底清洁，无杂物。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（4）电梯大堂、走廊表面干净、明亮。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1.2.4办公室、会议室、展厅保洁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（1）清倒纸篓、茶水桶等内的垃圾。</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（2）清洁地面。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（3）擦拭办公桌、文件柜、沙发、电话、办公设备、茶几、会议桌等家具。</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（4）擦拭门窗、窗台、墙壁、天花板、照明设施、饰物等。</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（5）清洗茶具。</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（1）茶几、桌面物品摆放整齐，茶水杯的内壁外壁无污渍痕迹。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（2）会议桌无垃圾、无污渍，桌椅边角干净无积尘，且摆放整齐。</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（3）室内的开关、空调、墙壁、天花板无蜘蛛网。</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（5）玻璃窗无积尘，窗帘干净整洁。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（6）地面干净整洁、垃圾桶、茶水桶及时清洁并更换垃圾袋:</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1.2.5外场保洁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 xml:space="preserve">外场保洁主要包括庭院、大门前、室外停车场、通道等的卫生管理工作。  </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（1）室外垃圾桶内垃圾的清运。</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（2）围栏的清洁。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（3）全楼垃圾清运。</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（4）庭院广场地面清洁。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（5）雨季清除积水、落叶。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（6）化粪池的清掏、垃圾清运。</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（1）庭院、广场地面清洁无废弃物。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（2）保洁重点是烟头、废纸、杂物等，随时捡拾入桶。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（3）垃圾清运及时，垃圾站消毒，无蚊蝇滋生。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（4）清扫及时，地面无积水、积土。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1.2.6绿化管养</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（1）负责楼前广场绿化管养工作和室内绿植养护工作。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（2）每天定时为绿植浇水，清扫绿化内的垃圾、烟头、纸屑、落叶等。</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（3）安排专业人员对绿植灌木进行修剪，保持绿植灌木应有的美观造形。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（4）按花木的生长情况，按需施肥。</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（5）做好病虫害防治工作。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（1）长势良好，无垃圾、枯枝黄叶、残叶，无病虫害现象。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（2）高低错落有致，外形美观，造型、修剪合理。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（3）草皮区域，无大面积裸露土面。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（4）乔木保护措施得当，有护树架，无倒伏、摇动现象。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1.2.7外墙、外窗保洁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外墙、外窗保洁是指办公楼、建筑物的外墙和外窗卫生管理。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（1）外墙、外窗定期清洗、保养。</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（2）其他需要机械化清洗的工作。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（1）外墙清洗、保养后，光亮、防风化、无漏清洗部位。</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（2）外窗清洗后，清洁透明；清洁时，室内不进水，经常保持清洁。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（3）外墙、外窗及玻璃幕墙保洁合同期内至少清洗一次。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1.2.8内面玻璃窗、玻璃墙及天花板等保洁至少每年清洗一次，保持干净。</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1.2.9专项保洁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（一）石材地面的晶面处理服务要求及标准：办公楼内所有大理石、花岗岩地面按操作程序进行晶面处理工作，达到目视地面无灰尘、光亮，可映出物体轮廓。</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（二）地毯清洗工作服务要求及标准：办公楼内所有地毯进行清洁、清洗工作， 保持地毯表面无污渍，清洁、干净。</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1.2.10除四害服务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（一）各类四害孳生场所得到有效控制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（1）单位垃圾箱密闭，垃圾入箱、无外溢，日产日清；垃圾箱外壳尤其是垃圾倾倒口经常刷洗，保持整洁；垃圾箱外无坑洼、积水。</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（2）厕所有专人清扫，厕内清洁，无尿垢，无蝇蛆，基本无臭。</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（3）单位食堂的泔脚缸(桶)、废物缸(桶)等密闭加盖，废弃物日产日清。</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（4）馆内路面、草坪、绿化带无暴露垃圾；室内外物品摆放整齐，环境整洁，无卫生死角；箱柜、抽屉经常打扫，整洁无杂物。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 xml:space="preserve">（5）下水道有盖，定期疏通，水流畅通，无积水。 </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（二）重点部位防护设施落实到位</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（1）定期检查绿化带等外环境，鼠洞及时填塞，鼠迹及时清理。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各种管道周围密闭，墙壁完好无孔隙、洞穴；雨水落水管下端离地30cm以上；食堂下水道及其他进出口设置防鼠网，防鼠网用铁丝网或不锈钢网，网眼小于13×13mm；食堂仓库和储藏室的门如为木质，则要在下端包(镶)铁皮，高度不低于30cm；食堂库房内要有灭鼠设施(鼠夹、鼠笼、粘鼠板等)，并正确使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 xml:space="preserve">（3）食堂与外界相通的门、窗要装风幕机、纱门、防蝇帘、纱窗等防蝇设施；餐厅配备诱蝇灯，一般每30平方米配备1只；食堂外环境和垃圾箱周围，配备适量诱蝇笼。 </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（4）室内各种箱柜密闭，无缝隙；室内墙壁、装饰条、地脚线、电柜、灭火器箱等无明显缝隙。</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（三）定期消杀，合理用药</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（1）备有灭鼠、灭蟑、灭蚊蝇药物，并根据四害密度情况开展消杀。</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灭鼠一般安排在春秋两季。单位食堂外环境和垃圾箱附近沿墙边隐蔽处设置一定数量的毒饵站。食堂的仓库，每间设灭鼠毒饵盒一个。毒饵站和毒饵盒的使用方法参照使用说明。严禁使用毒鼠强等国家禁用的急性剧毒鼠药。</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（3）灭蟑一般安排在夏秋季。室内各种箱柜、地毯下、墙缝等处定期进行检查，发现蟑螂及时进行杀灭。</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（4）夏秋季（5～10月）经常开展蚊蝇消杀，具体间隔时间根据苍蝇密度确定，其中厕所、垃圾箱和废弃物堆放处每1～2天喷药消杀1次。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（四）四害密度不超标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（1）室内各场所、绿化带、外环境无活鼠，无鼠粪、鼠洞、鼠咬痕等鼠迹。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（2）食堂基本无蝇，备餐间确保无蝇；厕所、垃圾废弃物堆放处、下水道、泔脚缸无蝇蛆。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（3）室内无活蟑螂和蟑螂卵鞘、粪便、蜕皮、死蟑螂等。</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（4）各种积水处无蚊幼孳生。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1.2.10园林绿化管理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配备园林绿化专业化人员实施日常管理，实施高标准管理，保持馆区优美宜人的园林环境。根据市档案馆办公大楼的实际情况，做好绿化管养日常服务工作，春节迎新花木的摆放服务。</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2、供电照明管理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2.1服务内容：对馆内的供电、照明等的日常养护维修管理，弱电设备的检查、检测和日常维修保养管理。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2.2服务要求：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（1）负责辖区内的所有电气设施（包括配电系统、强弱电、室内外照明等）的运行管理、日常维护、故障报修，对用电和重点部位设施的经常性检查和维护管理。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（2）负责备用发电机组的日常管理、使用和保养，要求每周开机运转一次（每次15分钟），以保证发电机组可随时起用。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（3）负责夜视照明系统的日常管理、使用和一般性维修。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2.3服务标准：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（1）按照变压器、配电柜管理规范和标准每2小时进行值班巡查，并做好记录。</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（2）每年对高、低压配电房的变压器、配电柜等设备保养不少于2次。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（3）每天实行24小时值班和监控，维修维护辖区内低压配电系统，按时记录低压配电系统运行情况，保证24小时正常运行，出现故障立即排除。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（4）限电、停电按规定提前通知到采购人及各相关部门。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（5）维护好照明及动力系统，包括低压配电房末级开关后的电力系统，如各楼层室内外照明、开关插座、所有配电房、母线排及各线路的一般性保养、检查、维修和更换工作。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（6）管理、维护辖区内的电路、照明系统、制冷系统、消防系统，确保以上系统时刻处于良好的运行状态。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（7）确保所有系统（含照明、送／抽风系统及报警系统等）工作正常、场所卫生整洁，确保所有房门、通道门在无人时处于锁闭状态。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（8）按时开启、关闭辖区内路灯、园林灯，按规定时间开启、关闭辖区内各建筑物的电源总开关（按规定时间开、封闭各场地）。</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（9）制定临时用电管理措施，配电室管理严格按照国家标准操作运行。</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3、保安秩序管理及消防、自然灾害等突发事件应急处置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3.1服务内容：传达、保安秩序和监控系统管理以及消防值守、自然灾害应急处置是指为保证办公楼安全和正常工作秩序，对来人来访进行登记、查验，做好安全保卫和防火防盗工作，负责办公楼区监控系统（包括消防报警系统、闭路监控系统、楼宇自控系统等）的值班，并做好车辆、道路及环境秩序的维护和管理以及消防、自然灾害等突发事件的应急管理。按要求做好办公楼、广场、庭院节日装饰美化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3.2服务要求及标准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3.2.1传达、保安、秩序管理和消防安全值守、自然灾害等突发事件应急处置。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传达、保安、秩序管理是指为保证办公楼安全和正常工作秩序，对来人来访进行登记、查验，做好安全保卫和防火防盗工作，并做好车辆、道路及环境秩序的维护和管理等。</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（1）建立、健全和落实内部治安、消防安全值守等管理规章制度。</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（2）贯彻公安部门工作精神，落实各项安全保卫任务，并积极协助公安机关、国家安全部门调查各种违法活动和侦破各类案件。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负责保安人员的业务技能培训和消防知识培训，定期组织考核，提高保安人员业务技能和自身素质。所有员工应经岗前治安、消防安全培训，实行先培训后上岗，提高员工治安、消防安全意识，掌握治安、消防安全防范技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（4）做好办公楼来人来访的通报、证件检验、登记等，并负责对携带的大宗物品进行检查。</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根据“治安保卫重点单位、消防重点单位”的要求，按管理规范落实治安、消防安全每天巡查及每周、每月检查登记制度，及时掌握全馆的治安、消防安全情况，对安全设施设备进行检查维护，确保完整好用，发现隐患及时上报整改，确保全馆无安全责任事故。</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（6）建立健全义务消防队组织，注重平时训练，提高消防安全意识和自防自救的能力。</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（7）负责消防安全培训，采取授课、外请消防专业人员现场指导，理论和实践相结合的方式，达到员工掌握消防值守技能的要求，以确保场馆消防安全。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（8）负责展览展出档案的重点安全看护，对安全重点部位加强保卫巡查，防止人为和自然破坏，确保安全。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（9）负责全馆各场所、部位的定岗安全值勤和安全巡查，及时发现和消除安全隐患，确保各场所、部位安全。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（10）负责展厅展品看护，实行不定时巡查，盘查与跟进可疑人员，防止人为和自然破坏，确保展厅展品的安全。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（11）做好对易燃易爆、放射、剧毒等危险品的安全管理工作。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（12）协助消防应急救援工作，制定消防应急救援工作预案，经常开展消防安全检查和演练，消除不安全隐患，保证重点部位的安全。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（13）负责机关公共秩序维护、道路交通安全、机动车和非机动车停放管理及车库管理等工作，杜绝失窃事件。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（14）做好突发事件防范与处理。在突发事件防范与处理方面，具有完备、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切实可行的应急处理制度，能有效预防和处理各类突发事件：包括设备故障的应急处理；停水、停电事件处理；防台风、雨汛应急处理预案；火灾事故紧急处理预案以及其他突发事件应急处理预案。</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（15）做好重大活动，重要人物、宾客及重大节日的安全保卫工作。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（16）做好办公楼、庭院节日的装饰美化。</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（1）严格验证、登记制度，杜绝闲杂人员进入机关。</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（2）庭院、办公楼环境秩序良好，道路畅通，车辆停放有序，机动车、自行车停车场秩序井然。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（3）每月定时对消防设施和器材进行巡检，确保各种消防设施和器材配套合理、更换及时、使用有效，如发现问题及时上报业主和消防维保单位。</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（4）能及时发现和处理各种安全和事故隐患，并能迅速有效处置突发事件。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★（5）根据《中华人民共和国消防法》和国务院《企业事业单位内部治安保卫条例》要求，至少每半年组织一次消防演练，提高消防安全值守防范技能和意识（投标时须提供投标承诺函原件）。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3.2.2监控系统管理（弱电管理）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监控系统管理是指负责办公楼区监控系统（包括消防报警系统、闭路监控系统、门禁系统、楼宇自控系统等）的值班、检查。</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（1）控制室24小时值班，随时了解办公楼消防自动报警系统及附属设备、通讯系统、视听系统、自控系统及闭路监控系统的运行情况。</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（2）制定弱电设备维修计划，并组织实施。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（3）制定停电、强电磁干扰、系统故障无法排除等非正常状态的应急措施。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（4）及时排除各系统运行中的故障。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（5）定期对各系统进行检查、检测，保证正常运行，在国家规定的长假前应对各系统进行检修、测试。</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（6）搞好设备机房的卫生清洁。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（7）搞好设备机房的安全、防火工作。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（1）两班制24小时值班。</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（2）保证办公楼消防自动报警系统、门禁系统、自动控制系统及闭路监控系统运行正常，各系统工作稳定。</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（3）保证各系统设备灵敏可靠。</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（4）一般性故障立即排除，零维修合格率100%。暂时不能处理的通知有关部门采取应急措施，应急措施得当有效。</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（5）设备机房整洁。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（6）保证设备机房的安全。</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4、后勤保障管理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4.1服务内容：负责1-3层公共活动区域、档案和政府公开信息查阅大厅来访人员接待、咨询指引工作，会议室、学术报告厅后勤保障等相关工作。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4.2服务要求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（1）做好1-3层公共活动区域、档案和政府公开信息查阅大厅来访人员接待、咨询指引。</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（2）学术报告厅、会议室等按要求摆放桌、椅、台布、台裙、会标、台签、茶杯、毛巾、纸、笔、饮用水，空调、音响、灯光等设施良好，并调试完毕。</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（3）保持学术报告厅、会议室等经常性的清洁卫生、器具完好。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（4）按规范做好杯具、毛巾的洗消工作，会议室公用杯具由专门洗消间设专人负责清洗。</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（5）窗帘、杯垫等定期清洗。</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4.3服务标准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（1）会场布置符合主办方要求。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（2）会场布置整洁、大方，会标、台签大小、颜色协调，花木适度，摆放合理，符合标准。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（3）保持室内整洁，保证设备正常运行使用。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（4）窗帘、杯垫等洁净。</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5、辖区房屋、道路、给排水设施维护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5.1服务内容：保持馆内建筑物办公室、会议室、休息室、食堂、公共区域、卫生间、车库、走廊、屋面、外墙立面、道路、给水、排水设施等各区域原有完好等级和正常使用，负责对排雨管、排污管、给水管、水池（消防、生活）等全部给水、排水系统进行日常养护和及时修复等维护管理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5.2服务要求及标准：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（1）确保服务范围内房屋的完好等级和正常使用；要爱护办公楼内的设施，未经委托方批准，不得对办公楼结构、设施等进行改动。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（2）确保辖区内路面平整、美观、畅通，所有建筑物及供给区域排水畅通，汛期道路无积水，楼内无积水、浸泡发生。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（3）定期检查给排水系统管网及阀门有无跑、冒、滴、漏、积水情况，并做好运行记录，确保给排水系统正常运转。</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（4）负责给水系统、负责热水泵、热水系统的运行管理工作，负责二次供水的卫生管理和水质监测工作，以及有关供水的其他工作。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（5）高压水泵、水池、水箱有严密的管理措施，供水计量及收费严格执行有关部门规定，无不合理计量及乱收费现象。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严格二次供水卫生管理制度，水质监测记录留档。管理人员按有关规定体检，培训上岗。水池加盖、上双重锁。定期巡查。每季度清洗水池不少于一次，保持水池洁净，无沉积物，并做好清洗记录、签名，确保卫生、安全供水。</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（7）限水、停水能预先通知到采购人及各相关部门。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（8）遇有给水事故，发现故障漏水或接到科室报修时，应及时报告维修，并做好记录，维修人员在规定时间内抢修，无大面积泡水、泛水、长时间停水事故。</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（9）确保下水管道的畅通，及时疏通堵塞的厕所、地漏及下水道。</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（10）及时完成各项零星维修任务，合格率100%。维修不得超过24小时。</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6、楼内公用设施设备维护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6.1供电系统运行管理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6.1.1服务内容：保证馆内供电系统正常运行，对高、低压电器设备、电线电缆、电气照明装置等设备进行日常管理和维护。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6.1.2服务要求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（1）特种作业人员需持证上岗。变配电房要符合“四防一通风”要求。凡变配电房内有两台以上变压器的，须配备专人值班管理，且值班人员应持有有关部门颁发的上岗证书。</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（2）变配电房要经常巡视，发现问题要及时查明原因，立即处理解决。</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（3）始终保持其室内清洁，做到无污迹、无灰尘、无垃圾，防止大量尘埃积聚而引起高压放电，造成短路。</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（4）变配电房电气设备每年定期由具备相关电气试验资质的企业进行预防性电气试验，试验报告均应妥善保管存档。</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（5）变配电房停电应严格遵照“低规”规定按倒闸操作顺序进行。停电前必须事先发出通知。</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（6）严禁在变配电房内吃饭和将食品带进变配电房内，防止小动物进入而严重威胁供电设备的正常安全运行。</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（7）变配电房人员须对柴油发电机进行定期维护保养，定期对发电机进行试运行检查，做到有备无患。</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（8）建立各项设备档案。</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（9）建立、落实配送电运行制度，电气维修制度和配电房管理制度，24小时运行维修值班制度等。</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（10）及时排除故障，保证供电设施完好。购置后备部件，以防急用。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（11）保证大楼各出入口充电式紧急照明设备完好；做好夜景照明、节日灯系统的运行管理；建立节电措施。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（12）管理和维护好避雷设施。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6.1.3服务标准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（1）统筹规划，做到合理、节约用电。</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（2）供电运行和维修人员必须持证上岗。</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（3）配电室24小时值班。</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（4）加强日常维护检修，公共使用的照明、指示灯具线路和开关要保证完好。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（5）设备出现故障时，维修人员应及时到达现场，设备零维修合格率达到100%，一般性维修不过夜。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（6）严格执行用电安全规范，确保用电安全。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（7）保证避雷设施完好，有效、安全。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（8）保证夜景照明、节日灯系统正常运行，要按时关启。</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6.2空调系统运行管理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6.2.1服务内容：保证服务范围内空调系统正常运行，对空调等设备进行日常管理和维护。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6.2.2服务要求及标准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（1）运行值班人员必须加强责任心，做到定时巡视设备。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（2）经常巡视，确保空调主机、外机等设备良好运行。当发生异常先兆和紧急事故时，实施预先采取的相应措施，防止事故进一步扩大，并及时上报，做好相关记录。</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（3）严格按规程进行操作，发现问题及时处理。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6.3消防报警及联动系统运行管理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6.3.1服务内容：定时对服务范围内消防报警及联动系统进行巡检，做好消防安全值守日常管理工作。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6.3.2服务要求及标准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（1）消防系统应按照《设备定期检查保养计划》的要求由第三方维保单位定期进行设备的维护保养。</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（2）清除设备、管道附件各部分灰尘。</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（3）检查消防水喷淋系统和中控室消防监控系统的联动是否正常可靠。</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（4）烟烙烬气体灭火系统应由经过专门培训的专人负责定期检查和维护。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（5）烟烙烬气体灭火系统应按《设备定期检查保养计划》的要求进行设备的维护保养。</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（6）检查烟烙烬气体消防系统和中控室消防监控系统的联动是否正常可靠。</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6.4电梯系统运行管理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6.4.1服务内容：保证服务范围内电梯系统正常运行，对电梯进行日常管理和维护。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6.4.2服务要求及标准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中控室安保人员负责监控电梯的运行状况，实行电梯24小时运行监控，通过监控电视观察轿厢内状况，如发现乘客吸烟、哄闹、打斗或损坏电梯部件等情况，用对讲电话制止并录像，严禁易燃、易爆等危险品和超长超重等物品进入电梯。</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（2）保证电梯机房通风良好，风口有防雨措施，机房内悬挂温度计，机房温度不超过40℃。保证机房照明良好，并配备应急灯，灭火器和盘车工具挂于显眼处。</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（3）定期对电梯机房进行全面清洁，保持机房干净整洁，保证机房和设备表面无明显灰尘：机房及通道内不得住人、堆放杂物，任何人不得在电梯机房、轿厢、井道内吸烟。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（4）电梯机房内消防器材齐备良好，各项规定及各种警示牌应清晰并挂于显眼处。</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（5）建立完善的电梯管理制度，配备持证电梯安全管理对电梯进行使用管理。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（6）建立并保管好包括使用登记证、定期检验合格证、出厂合格证、日常维护保养记录、运行故障和事故记录等资料在内的电梯安全技术档案，并在服务合同期满后将电梯安全技术档案移交采购人。</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制定电梯事故应急救援预案，依法依规开展应急救援演练。建立24小时应急救援制度，设立24小时应急救援电话，保持电话能够有效接通。在电梯发生故障、事故时，应立即响应，对电梯乘客进行安抚和协助，5分钟内通知电梯维保公司到现场进行救援。必要时启动应急救援预案。</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（8）对电梯使用进行妥善的管理，教育和引导乘客正确、安全使用电梯，制止乘客不安全的乘梯行为，发现电梯存在安全隐患、过期未检验或收到检验不合格报告时，应关停电梯。</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6.5大型设备运行管理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对电梯、中央空调、智能系统、消防系统、吸尘系统、通风系统等大型设备，在建立运行检查制度并进行日常维护的同时，发现故障及时联系维保方维修。</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7、职工食堂管理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7.1服务内容：保证食堂用餐环境卫生，食品卫生，并对食堂设备进行日常管理和维护，为档案馆在职职工提供膳食方面的优质服务。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7.2服务要求及标准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7.2.1职工餐厅卫生整理标准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（一）餐厅整体卫生标准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（1）大门干净、无污渍；把手光亮；大门开启自如。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（2）墙面无污渍；墙脚漆完好；无剥落，无灰尘、印迹、水印。</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（3）地面每餐清理干净，无食物碎屑，无废纸、杂物、污垢、积水，餐厅内各角落无浮土，无卫生死角。</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（4）装饰物及粘贴标语牌洁净，触摸表面无灰尘。</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（二）分餐设备卫生标准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（1）分餐保温台里外无污渍、菜汤、随时清洁卫生、消毒、保持光亮。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（2）各餐车、服务车光亮干净、无异味，每餐清洁。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（3）划卡工作台每餐擦拭，用品餐具摆放整洁，干净、无污染。</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（三）桌椅卫生标准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（1）餐桌上无水渍、食品残渣、杂物，员工用餐后立即清洁桌面及周围。</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（2）椅子上无水渍、食品残渣、杂物，用餐后摆放整齐。</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（3）桌椅安全稳固，桌椅腿每天清洁无印迹、无浮土。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（四）餐厅用品卫生标准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（1）调料瓶保持瓶体、瓶口清洁卫生。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（2）托盘里外随时干净卫生。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（3）盛装咸菜的盆每餐后清洁、消毒。</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（五）员工操作卫生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（1）员工分菜操作前需将手及操作用具进行消毒，员工无各类传染性疾病。</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（2）分菜间内干净、整洁，不存放其他无关杂物。定期消毒。</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（3）员工操作时需做到生熟、冷热分开，备有专用的擦手布使用井每餐更换洗涤。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（4）操作完毕要对用具进行彻底清洗和消毒。</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（六）员工个人卫生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（1）员工头发、身体无异味，不准留指甲并保持清洁，女员工头发进帽子、不准涂彩色指甲油。男员工需每天刮胡子，保持面部清洁。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（2）员工制服平整干净，工鞋保持光亮、无污渍。</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（七）餐具消毒卫生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（1）餐具按《食品卫生法》规定及相关程序每餐消毒，保证无毒、无菌、无卫生事故发生。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（2）餐具定时消毒，由专人负责，并使用专门机械对餐具消毒，水温不低于80度。</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（3）消毒液需按有关标准和要求，使用饭店指定的品牌产品。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7.2.2职工餐厅菜品质量标准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（一）职工餐厅菜点品种安排</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（1）每餐菜点品种丰富，烹调方法和口味多样，营养搭配平衡，以满足员工不同需求。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（2）根据季节变化，不断更新原料搭配、菜肴色彩，给予美的享受，并降低成本。</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（3）菜肴及面点品种视市场货源、库房能力、厨师加工能力等情况而定，保证供应。</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（4）根据员工反馈意见调整菜品种类、口味、颜色、以求最好，实现光盘行动。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（二）职工餐厅菜点品质要求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（1）菜点应符合营养、卫生要求，不得采用国家明令禁止使用的、有毒的、变质的原材料生产、加工食品。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（2）加工食品原材料时，加工人员自我检查、领班厨师分类检查，保证原料加工的质量、形状、大小、厚薄、规格等符合标准，和烹调要求。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（3）菜点烹制过程按标准进行，不得有偷工减料、粗制滥造现象发生。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（4）菜点根据员工用餐情况，随吃随制作，保证新鲜、热度、并杜绝浪费。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（5）厨师积极有效的展开工作，保证开餐时间食品供应。</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7.2.3职工厨房服务质量标准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（一）职工厨房卫生质量标准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（1）每日清洁，每餐擦拭整理，地面、墙面保持清洁，各种厨柜、案板操作台整齐洁净、无污渍、无油渍。</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（2）灶台、餐具、厨具、刀具、餐车每日用后洗涤、擦拭，定期消毒，保持清洁无污垢。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（3）各种洗菜、洗碗、泡菜用的水池每天用后洗擦，表面清洁、无污渍，下水口无虫害。</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（4）盛菜的盆、筐、盖布每天用后清洗，抹布常洗常换，专布专用，无油渍、无异味。</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（5）灶上使用的各种调料罐、盛器摆放整齐；每天洗换，不用时加盖布，保持卫生。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（6）排风、换气、排油烟的设备定期清洗，表面无严重污垢、无油渍。</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（7）厨房各种灯具定期擦拭，有安全保护罩，照明充足。</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（8）储藏食品按食品卫生法进行，生熟分开、冰箱定期清洁，专人专管。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（9）定期对厨房设备进行维护保养。</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（10）注意节约能源，注意防火安全，并由专人负责。</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（二）厨房员工卫生标准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（1）员工服装干净整洁、头发清洁无头屑。</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 厨师人员必须戴工作帽、穿围群和工作鞋上岗，工作时间不得戴戒指、不留长指甲、不洒浓香水。</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（3）厨房工作区域内不许吸烟、不嚼口香糖、不梳头发，不得面对食品咳嗽或打喷嚏。</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（4）员工不得在消毒池洗手、及其他无关物品。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7.2.4职工餐厅用餐服务标准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（一）餐前准备服务标准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（1）检查职工餐厅卫生良好，温度适宜，空气新鲜、环境优美，使员工有舒适感。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（2）检查餐厅分菜设备、容器、工具处于清洁完整及良好的使用状态。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（3）根据菜单及厨师操作情况，在公布栏上填写每餐菜肴及操作厨师。</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（4）餐厅内调料瓶、牙签瓶做好补充，摆放整齐、划线如一。</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（二）职工用餐服务标准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（1）引导职工排队用餐，监督职工划卡方可就餐，如客人凭餐券用餐，收餐券时点清面额及用餐人数准确。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（2）见到职工用餐要面带微笑，主动打招呼问好，并向职工介绍当日菜肴口味及特点。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（3）盛菜时，要有礼貌、有耐心，盛菜量按标准进行，注意节约。</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（4）与厨房积极配合做到菜肴随吃随炒，保证主副食、汤的及时供应。</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（5）随时提醒职工注意节约饭菜，严禁浪费，并及时与职工沟通，向厨房反映饭菜质量。</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（6）随时整理餐厅桌面、地面，补充调味料及咸菜。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（7）准确记录就餐人数，及时记录在案，配合厨师长成本核算。</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（8）及时将职工用过的碗筷送到洗碗间过机消毒。</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（9）定期对餐厅设备进行维护保养。</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（10）注意节约能源，注意防火安全，并由专人负责。</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（二）汕头市档案馆侨批分馆（侨批文物馆）服务要求及标准</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1、环境卫生管理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1.1服务内容：为保持馆内各楼层公共区域、库房、展厅及办公室内等环境清洁以及绿化而进行的日常管理工作。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1.2服务要求及标准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1.2.1公共区域卫生保洁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公共区域包括馆内的办公楼大厅、大门、楼道、楼梯、围墙、道路、办公大厅及上述部位内所有设施用品和饰物等。</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（1）清理服务范围内的所有垃圾，对垃圾进行分类回收。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（2）收集及清理所有垃圾箱和花槽内的垃圾；</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（3）清洁所有窗户及指示牌。</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（4）清洁所有出入口、大门及门牌。</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（5）清除所有手印及污渍，包括楼梯墙壁。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（6）清洁所有扶手、栏杆及玻璃表面。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 xml:space="preserve">（7）清扫所有通风窗口。 </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（8）清扫空调风口百叶及照明灯片。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（9）拖擦地、台表面。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（10）清洁所有楼梯、走廊及窗户。</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（11）清洁所有灯饰。</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（12）清扫、洗刷大厅入口地台及梯级。</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（13）擦净入口大厅内墙壁表面和所有玻璃门窗及设施。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（14）清扫大厅天花板尘埃。</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（15）定期投放喷洒鼠、蟑螂、蚊蝇药物。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（16）清洁车库地面、墙面、棚面设施。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（1）地面光亮无水迹、污迹，无尘物。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（2）楼梯、走廊、指示牌、门牌、通风窗口、地角线、墙壁、柱子、顶板无尘和无污物。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（3）垃圾筒内垃圾必须当天清理，确保不超过1/2，并摆放整齐，外观干净。</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（4）玻璃、门窗无污迹、水迹、裂痕，有明显安全标志。</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（5）厅堂内无蚊蝇。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（6）灯饰和其它饰物无尘土、破损。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（7）大厅入口地台、梯级、墙壁表面、所有玻璃门窗及设施无尘土，大理石墙面光亮、无污迹、水迹。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（8）大厅天花板无尘埃。</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（9）无鼠害、无蚊蝇、无蟑螂。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1.2.2公共卫生间保洁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（1）擦净所有门、天花板。</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（2）擦、冲及洗净所有洗手间设备。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（3）擦净所有洗手间镜面。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（4）擦净地、台表面。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（5）天花板及照明设备表面除尘。</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（6）擦净排气扇。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（7）及时补充清洁液和卫生纸等日常消耗品。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（8）清理卫生桶脏物。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（9）清洁卫生洁具。</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（1）门、窗、天花板、墙壁、隔板无尘物、无污迹、无尘物。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（2）玻璃、镜面明亮无水迹。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（3）地面墙角无尘、无污迹、无杂物、无蛛网、无水迹。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（4）地面、水龙头、弯管、马桶座及盖、水箱等无污迹、无污物，电镀件明亮。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（5）便池无尘、无污迹、无杂物，小便池内香球不少于1/2个，并及时更换。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（6）桶内垃圾不超1/2即清理。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（7）设备（烘手器、灯、开关、暧气、通风口、门锁等）无尘、无污迹。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（8）空气清新、无异味。</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（9）墩布间干净、整洁、无杂物，物品码放整齐，不囤积。</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1.2.3办公室、会议室、展厅保洁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（1）清倒纸篓、茶水桶等内的垃圾。</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（2）清洁地面。</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（3）擦拭办公桌、文件柜、沙发、电话、办公设备、茶几、会议桌等家具。</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（4）擦拭门窗、窗台、墙壁、天花板、照明设施、饰物等。</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（5）清洗茶具。</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（1）茶几、桌面物品摆放整齐，茶水杯的内壁外壁无污渍痕迹。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（2）会议桌无垃圾、无污渍，桌椅边角干净无积尘，且摆放整齐。</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（3）室内的开关、空调、墙壁、天花板无蜘蛛网。</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（5）玻璃窗无积尘，窗帘干净整洁。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（6）地面干净整洁、垃圾桶、茶水桶及时清洁并更换垃圾袋:</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1.2.5外场保洁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 xml:space="preserve">外场保洁主要包括庭院、大门前、室外停车场、通道等的卫生管理工作。  </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（1）室外垃圾桶内垃圾的清运。</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（2）围栏的清洁。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（3）全楼垃圾清运。</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（4）庭院广场地面清洁。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（5）雨季清除积水、落叶。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（6）化粪池的清掏、垃圾清运。</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（1）庭院、广场地面清洁无废弃物。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（2）保洁重点是烟头、废纸、杂物等，随时捡拾入桶。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（3）垃圾清运及时，垃圾站消毒，无蚊蝇滋生。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（4）清扫及时，地面无积水、积土。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1.2.6外墙、外窗保洁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外墙、外窗保洁是指办公楼、建筑物的外墙和外窗卫生管理。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（1）外墙、外窗定期清洗、保养。</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（2）其他需要机械化清洗的工作。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（1）外墙清洗、保养后，光亮、防风化、无漏清洗部位。</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（2）外窗清洗后，清洁透明；清洁时，室内不进水，经常保持清洁。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（3）外墙、外窗及玻璃幕墙保洁合同期内至少清洗一次。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1.2.7内面玻璃窗、玻璃墙及天花板等保洁至少每年清洗一次，保持干净。</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1.2.8专项保洁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（一）石材地面的晶面处理服务要求及标准：办公楼内所有大理石、花岗岩地面按操作程序进行晶面处理工作，达到目视地面无灰尘、光亮，可映出物体轮廓。</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（二）地毯清洗工作服务要求及标准：办公楼内所有地毯进行清洁、清洗工作， 保持地毯表面无污渍，清洁、干净。</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1.2.9除四害服务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（一）各类四害孳生场所得到有效控制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（1）单位垃圾箱密闭，垃圾入箱、无外溢，日产日清；垃圾箱外壳尤其是垃圾倾倒口经常刷洗，保持整洁；垃圾箱外无坑洼、积水。</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（2）厕所有专人清扫，厕内清洁，无尿垢，无蝇蛆，基本无臭。</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（3）馆内路面、草坪、绿化带无暴露垃圾；室内外物品摆放整齐，环境整洁，无卫生死角；箱柜、抽屉经常打扫，整洁无杂物。</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 xml:space="preserve">（4）下水道有盖，定期疏通，水流畅通，无积水。 </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（二）重点部位防护设施落实到位</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（1）定期检查绿化带等外环境，鼠洞及时填塞，鼠迹及时清理。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（2）各种管道周围密闭，墙壁完好无孔隙、洞穴；雨水落水管下端离地30cm以上。</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（3）室内各种箱柜密闭，无缝隙；室内墙壁、装饰条、地脚线、电柜、灭火器箱等无明显缝隙。</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（三）定期消杀，合理用药</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（1）备有灭鼠、灭蟑、灭蚊蝇药物，并根据四害密度情况开展消杀。</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灭鼠一般安排在春秋两季。单位食堂外环境和垃圾箱附近沿墙边隐蔽处设置一定数量的毒饵站。食堂的仓库，每间设灭鼠毒饵盒一个。毒饵站和毒饵盒的使用方法参照使用说明。严禁使用毒鼠强等国家禁用的急性剧毒鼠药。</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（3）灭蟑一般安排在夏秋季。室内各种箱柜、地毯下、墙缝等处定期进行检查，发现蟑螂及时进行杀灭。</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（4）夏秋季（5～10月）经常开展蚊蝇消杀，具体间隔时间根据苍蝇密度确定，其中厕所、垃圾箱和废弃物堆放处每1～2天喷药消杀1次。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（四）四害密度不超标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（1）室内各场所、绿化带、外环境无活鼠，无鼠粪、鼠洞、鼠咬痕等鼠迹。</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（2）厕所、垃圾废弃物堆放处、下水道、泔脚缸无蝇蛆。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（3）室内无活蟑螂和蟑螂卵鞘、粪便、蜕皮、死蟑螂等。</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（4）各种积水处无蚊幼孳生。</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2、供电照明管理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2.1服务内容：对馆内的供电、照明等的日常养护维修管理，弱电设备的检查、检测和日常维修保养管理。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2.2服务要求：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（1）负责辖区内的所有电气设施（包括配电系统、强弱电、室内外照明等）的运行管理、日常维护、故障报修，对用电和重点部位设施的经常性检查和维护管理。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（2）负责夜视照明系统的日常管理、使用和一般性维修。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2.3服务标准：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（1）每天实行24小时值班和监控，维修维护辖区内低压配电系统，按时记录低压配电系统运行情况，保证24小时正常运行，出现故障立即排除。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（2）限电、停电按规定提前通知到采购人及各相关部门。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（3）维护好照明及动力系统，包括低压配电房末级开关后的电力系统，如各楼层室内外照明、开关插座、所有配电房、母线排及各线路的一般性保养、检查、维修和更换工作。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（4）管理、维护辖区内的电路、照明系统、制冷系统、消防系统，确保以上系统时刻处于良好的运行状态。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（5）确保所有系统（含照明、送／抽风系统及报警系统等）工作正常、场所卫生整洁，确保所有房门、通道门在无人时处于锁闭状态。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（6）按时开启、关闭辖区内路灯、园林灯，按规定时间开启、关闭辖区内各建筑物的电源总开关（按规定时间开、封闭各场地）。</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（7）制定临时用电管理措施，配电室管理严格按照国家标准操作运行。</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3、保安秩序管理及消防、自然灾害等突发事件应急处置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3.1服务内容：传达、保安秩序和监控系统管理以及消防值守、自然灾害应急处置是指为保证办公楼安全和正常工作秩序，对来人来访进行登记、查验，做好安全保卫和防火防盗工作，负责办公楼区监控系统（包括消防报警系统、闭路监控系统、楼宇自控系统等）的值班，并做好车辆、道路及环境秩序的维护和管理以及消防、自然灾害等突发事件的应急管理。按要求做好办公楼、广场、庭院节日装饰美化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3.2服务要求及标准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3.2.1传达、保安、秩序管理和消防安全值守、自然灾害等突发事件应急处置。</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传达、保安、秩序管理是指为保证办公楼安全和正常工作秩序，对来人来访进行登记、查验，做好安全保卫和防火防盗工作，并做好车辆、道路及环境秩序的维护和管理等。</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（1）建立、健全和落实内部治安、消防安全值守等管理规章制度。</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（2）贯彻公安部门工作精神，落实各项安全保卫任务，并积极协助公安机关、国家安全部门调查各种违法活动和侦破各类案件。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负责保安人员的业务技能培训和消防知识培训，定期组织考核，提高保安人员业务技能和自身素质。所有员工应经岗前治安、消防安全培训，实行先培训后上岗，提高员工治安、消防安全意识，掌握治安、消防安全防范技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（4）做好办公楼来人来访的通报、证件检验、登记等，并负责对携带的大宗物品进行检查。</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根据“治安保卫重点单位、消防重点单位”的要求，按管理规范落实治安、消防安全每天巡查及每周、每月检查登记制度，及时掌握全馆的治安、消防安全情况，对安全设施设备进行检查维护，确保完整好用，发现隐患及时上报整改，确保全馆无安全责任事故。</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（6）建立健全义务消防队组织，注重平时训练，提高消防安全意识和自防自救的能力。</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（7）负责消防安全培训，采取授课、外请消防专业人员现场指导，理论和实践相结合的方式，达到员工掌握消防值守技能的要求，以确保场馆消防安全。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（8）负责展览展出档案的重点安全看护，对安全重点部位加强保卫巡查，防止人为和自然破坏，确保安全。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（9）负责全馆各场所、部位的定岗安全值勤和安全巡查，及时发现和消除安全隐患，确保各场所、部位安全。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（10）负责展厅展品看护，实行不定时巡查，盘查与跟进可疑人员，防止人为和自然破坏，确保展厅展品的安全。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（11）做好对易燃易爆、放射、剧毒等危险品的安全管理工作。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（12）协助消防应急救援工作，制定消防应急救援工作预案，经常开展消防安全检查和演练，消除不安全隐患，保证重点部位的安全。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（13）负责机关公共秩序维护、道路交通安全、机动车和非机动车停放管理及车库管理等工作，杜绝失窃事件。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（14）做好突发事件防范与处理。在突发事件防范与处理方面，具有完备、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切实可行的应急处理制度，能有效预防和处理各类突发事件：包括设备故障的应急处理；停水、停电事件处理；防台风、雨汛应急处理预案；火灾事故紧急处理预案以及其他突发事件应急处理预案。</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（15）做好重大活动，重要人物、宾客及重大节日的安全保卫工作。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（16）做好办公楼、庭院节日的装饰美化。</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（1）严格验证、登记制度，杜绝闲杂人员进入机关。</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（2）庭院、办公楼环境秩序良好，道路畅通，车辆停放有序，机动车、自行车停车场秩序井然。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（3）每月定时对消防设施和器材进行巡检，确保各种消防设施和器材配套合理、更换及时、使用有效，如发现问题及时上报业主和消防维保单位。</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（4）能及时发现和处理各种安全和事故隐患，并能迅速有效处置突发事件。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★（5）根据《中华人民共和国消防法》和国务院《企业事业单位内部治安保卫条例》要求，至少每半年组织一次消防演练，提高消防安全值守防范技能和意识（投标时须提供投标承诺函原件）。</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3.2.2监控系统管理（弱电管理）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监控系统管理是指负责办公楼区监控系统（包括消防报警系统、闭路监控系统、门禁系统、楼宇自控系统等）的值班、检查。</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（一）服务要求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（1）控制室24小时值班，随时了解办公楼消防自动报警系统及附属设备、通讯系统、视听系统、自控系统及闭路监控系统的运行情况。</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（2）制定弱电设备维修计划，并组织实施。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（3）制定停电、强电磁干扰、系统故障无法排除等非正常状态的应急措施。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（4）及时排除各系统运行中的故障。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（5）定期对各系统进行检查、检测，保证正常运行，在国家规定的长假前应对各系统进行检修、测试。</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（6）搞好设备机房的卫生清洁。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（7）搞好设备机房的安全、防火工作。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（二）服务标准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（1）两班制24小时值班。</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（2）保证办公楼消防自动报警系统、门禁系统、自动控制系统及闭路监控系统运行正常，各系统工作稳定。</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（3）保证各系统设备灵敏可靠。</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（4）一般性故障立即排除，零维修合格率100%。暂时不能处理的通知有关部门采取应急措施，应急措施得当有效。</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（5）设备机房整洁。</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（6）保证设备机房的安全。</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4、后勤保障管理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4.1服务内容：负责1-3层公共活动区域、来访人员接待、咨询指引工作，会议室后勤保障等相关工作。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4.2服务要求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（1）做好1-3层公共活动区域、来访人员接待、咨询指引。</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（2）会议室等按要求摆放桌、椅、台布、台裙、会标、台签、茶杯、毛巾、纸、笔、饮用水，空调、灯光等设施良好，并调试完毕。</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（3）会议室等经常性的清洁卫生、器具完好。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（4）按规范做好杯具、毛巾的洗消工作，会议室公用杯具由专门洗消间设专人负责清洗。</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（5）窗帘、杯垫等定期清洗。</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4.3服务标准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（1）会场布置符合主办方要求。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（2）会场布置整洁、大方，会标、台签大小、颜色协调，摆放合理，符合标准。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（3）保持室内整洁，保证设备正常运行使用。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（4）窗帘、杯垫等洁净。</w:t>
      </w:r>
    </w:p>
    <w:p>
      <w:pPr>
        <w:widowControl/>
        <w:wordWrap w:val="0"/>
        <w:adjustRightInd/>
        <w:spacing w:line="360" w:lineRule="auto"/>
        <w:ind w:firstLine="481" w:firstLineChars="200"/>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5、辖区房屋、道路、给排水设施维护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5.1服务内容：保持馆内建筑物办公室、会议室、休息室、公共区域、卫生间、车库、走廊、屋面、外墙立面、道路、给水、排水设施等各区域原有完好等级和正常使用，负责对排雨管、排污管、给水管、水池（消防、生活）等全部给水、排水系统进行日常养护和及时修复等维护管理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5.2服务要求及标准：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（1）确保服务范围内房屋的完好等级和正常使用；要爱护办公楼内的设施，未经委托方批准，不得对办公楼结构、设施等进行改动。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（2）确保辖区内路面平整、美观、畅通，所有建筑物及供给区域排水畅通，汛期道路无积水，楼内无积水、浸泡发生。</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（3）定期检查给排水系统管网及阀门有无跑、冒、滴、漏、积水情况，并做好运行记录，确保给排水系统正常运转。</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（4）负责给水系统的运行管理工作，负责供水的卫生管理和水质监测工作，以及有关供水的其他工作。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（5）高压水泵、水池、水箱有严密的管理措施，供水计量及收费严格执行有关部门规定，无不合理计量及乱收费现象。</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（7）限水、停水能预先通知到采购人及各相关部门。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（8）遇有给水事故，发现故障漏水或接到科室报修时，应及时报告维修，并做好记录，维修人员在规定时间内抢修，无大面积泡水、泛水、长时间停水事故。</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（9）确保下水管道的畅通，及时疏通堵塞的厕所、地漏及下水道。</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（10）及时完成各项零星维修任务，合格率100%。维修不得超过24小时。</w:t>
      </w:r>
    </w:p>
    <w:p>
      <w:pPr>
        <w:widowControl/>
        <w:wordWrap w:val="0"/>
        <w:adjustRightInd/>
        <w:spacing w:line="360" w:lineRule="auto"/>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6、楼内公用设施设备维护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6.1供电系统运行管理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6.1.1服务内容：保证馆内供电系统正常运行，对低压电器设备、电线电缆、电气照明装置等设备进行日常管理和维护。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6.1.2服务要求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（1）特种作业人员需持证上岗。变配电房要符合“四防一通风”要求。凡变配电房内有两台以上变压器的，须配备专人值班管理，且值班人员应持有有关部门颁发的上岗证书。</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（2）变配电房要经常巡视，发现问题要及时查明原因，立即处理解决。</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（3）始终保持其室内清洁，做到无污迹、无灰尘、无垃圾，防止大量尘埃积聚而引起高压放电，造成短路。</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（4）变配电房电气设备每年定期由具备相关电气试验资质的企业进行预防性电气试验，试验报告均应妥善保管存档。</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（5）变配电房停电应严格遵照“低规”规定按倒闸操作顺序进行。停电前必须事先发出通知。</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（6）严禁在变配电房内吃饭和将食品带进变配电房内，防止小动物进入而严重威胁供电设备的正常安全运行。</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（7）建立各项设备档案。</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（8）建立、落实配送电运行制度，电气维修制度和配电房管理制度，24小时运行维修值班制度等。</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（9）及时排除故障，保证供电设施完好。购置后备部件，以防急用。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（10）保证大楼各出入口充电式紧急照明设备完好；做好夜景照明、节日灯系统的运行管理；建立节电措施。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（11）管理和维护好避雷设施。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6.1.3服务标准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（1）统筹规划，做到合理、节约用电。</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（2）供电运行和维修人员必须持证上岗。</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（3）配电室24小时值班。</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（4）加强日常维护检修，公共使用的照明、指示灯具线路和开关要保证完好。</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（5）设备出现故障时，维修人员应及时到达现场，设备零维修合格率达到100%，一般性维修不过夜。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（6）严格执行用电安全规范，确保用电安全。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（7）保证避雷设施完好，有效、安全。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（8）保证夜景照明、节日灯系统正常运行，要按时关启。</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6.2空调系统运行管理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6.2.1服务内容：保证服务范围内空调系统正常运行，对空调等设备进行日常管理和维护。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6.2.2服务要求及标准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（1）运行值班人员必须加强责任心，做到定时巡视设备。</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（2）经常巡视，确保空调主机、外机等设备良好运行。当发生异常先兆和紧急事故时，实施预先采取的相应措施，防止事故进一步扩大，并及时上报，做好相关记录。</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（3）严格按规程进行操作，发现问题及时处理。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6.3消防报警及联动系统运行管理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6.3.1服务内容：定时对服务范围内消防报警及联动系统进行巡检，做好消防安全值守日常管理工作。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6.3.2服务要求及标准</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（1）消防系统应按照《设备定期检查保养计划》的要求由第三方维保单位定期进行设备的维护保养。</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（2）清除设备、管道附件各部分灰尘。</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（3）检查消防水喷淋系统和中控室消防监控系统的联动是否正常可靠。</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（4）烟烙烬气体灭火系统应由经过专门培训的专人负责定期检查和维护。</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（5）烟烙烬气体灭火系统应按《设备定期检查保养计划》的要求进行设备的维护保养。</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（6）检查烟烙烬气体消防系统和中控室消防监控系统的联动是否正常可靠。</w:t>
      </w:r>
    </w:p>
    <w:p>
      <w:pPr>
        <w:pStyle w:val="2"/>
        <w:spacing w:before="120" w:after="120"/>
        <w:rPr>
          <w:rFonts w:asciiTheme="minorEastAsia" w:hAnsiTheme="minorEastAsia" w:eastAsiaTheme="minorEastAsia" w:cstheme="minorEastAsia"/>
        </w:rPr>
      </w:pPr>
      <w:bookmarkStart w:id="11" w:name="_Toc195024598"/>
      <w:r>
        <w:rPr>
          <w:rFonts w:hint="eastAsia" w:asciiTheme="minorEastAsia" w:hAnsiTheme="minorEastAsia" w:eastAsiaTheme="minorEastAsia" w:cstheme="minorEastAsia"/>
        </w:rPr>
        <w:t>五、服务人员要求</w:t>
      </w:r>
      <w:bookmarkEnd w:id="11"/>
    </w:p>
    <w:p>
      <w:pPr>
        <w:widowControl/>
        <w:wordWrap w:val="0"/>
        <w:adjustRightInd/>
        <w:spacing w:line="360" w:lineRule="auto"/>
        <w:ind w:firstLine="481" w:firstLineChars="200"/>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1、汕头市档案馆服务人员合计12人，具体如下：</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（1）保安班长（兼项目负责人）1名。负责对接各项服务指令，管理监督并调配现场工作人员，现场安保责任管理工作及突发事件处理的统筹指挥工作。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保安员6名。落实监控室、消防及大门值班室的监控视频、消防安全值守、来访人员登记、服务大厅内秩序维护、地面停车管理及大楼巡逻工作、地下车库停车管理及车辆出入巡查等24小时轮岗值班值守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（3）后勤保障人员4名，负责楼前广场管养、各楼层保洁工作和地下车库、公共区域保洁工作以及垃圾清运等保洁服务及职工食堂管理(持食堂经营资质）。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（4）设备设施维修人员1名（持电工作业证），负责网络系统、监控系统、温湿监测系统、发电机组、水泵房等设备的日常维护工作及日常报修工作。</w:t>
      </w:r>
    </w:p>
    <w:p>
      <w:pPr>
        <w:widowControl/>
        <w:wordWrap w:val="0"/>
        <w:adjustRightInd/>
        <w:spacing w:line="360" w:lineRule="auto"/>
        <w:ind w:firstLine="481" w:firstLineChars="200"/>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2、汕头市档案馆侨批分馆（侨批文物馆）项目服务人员合计9人，具体如下：</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（1）保安班长（兼项目负责人）1名。负责对接各项服务指令，管理监督并调配现场工作人员，现场安保责任管理工作及突发事件处理的统筹指挥工作。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（2）维修人员1名（持电工作业证）。负责网络系统、监控系统、消防系统、空调系统、干湿监测系统等设备的日常维护工作及日常报修工作。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（3）保安员5名。监控室2名，负责24小时轮岗监控视频工作和24小时轮岗消防安全值守工作。大门值班室、保卫人员3名，24小时轮班，负责来访人员登记、秩序维护工作、停车管理及大楼巡逻工作。</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（4））后勤保障人员2人。负责各楼层保洁、垃圾清运等保洁服务工作。</w:t>
      </w:r>
    </w:p>
    <w:p>
      <w:pPr>
        <w:widowControl/>
        <w:wordWrap w:val="0"/>
        <w:adjustRightInd/>
        <w:spacing w:line="360" w:lineRule="auto"/>
        <w:ind w:firstLine="481" w:firstLineChars="200"/>
        <w:jc w:val="left"/>
        <w:textAlignment w:val="auto"/>
        <w:rPr>
          <w:rFonts w:asciiTheme="minorEastAsia" w:hAnsiTheme="minorEastAsia" w:eastAsiaTheme="minorEastAsia" w:cstheme="minorEastAsia"/>
          <w:b/>
          <w:iCs/>
          <w:sz w:val="24"/>
        </w:rPr>
      </w:pPr>
      <w:r>
        <w:rPr>
          <w:rFonts w:hint="eastAsia" w:asciiTheme="minorEastAsia" w:hAnsiTheme="minorEastAsia" w:eastAsiaTheme="minorEastAsia" w:cstheme="minorEastAsia"/>
          <w:b/>
          <w:iCs/>
          <w:sz w:val="24"/>
        </w:rPr>
        <w:t>3、服务人员要求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（1）中标人物业服务员工按岗位要求统一着装、言行规范，要注意仪容仪表、公众形象，一些公众岗位录用人员体形、身高要有规定。</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（2）中标人应制订切实可行的物业管理规章制度、各岗位工作计划、工作流程、员工守则等，负责抓好员工思想教育、业务培训，加强班组建设，营造良好的企业文化氛围。</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（3）中标人对人员录用，采购人具有审核权，如未能通过采购人同意，不得擅自雇佣人员。</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（4）保安人员要求身体健康，男性，年龄在50岁周岁以下,有过类似从业经历，身高1.7米以上，五官端正、能使用国语和潮汕话正常对话的。</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（5）后勤保障人员要求身体健康，女性，年龄在50岁周岁以下,五官端正，初中以上文凭。</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（6）中标人派驻的服务员工须严格遵守采购人规章制度。</w:t>
      </w:r>
    </w:p>
    <w:p>
      <w:pPr>
        <w:pStyle w:val="2"/>
        <w:spacing w:before="120" w:after="120"/>
        <w:rPr>
          <w:rFonts w:asciiTheme="minorEastAsia" w:hAnsiTheme="minorEastAsia" w:eastAsiaTheme="minorEastAsia" w:cstheme="minorEastAsia"/>
        </w:rPr>
      </w:pPr>
      <w:bookmarkStart w:id="12" w:name="_Toc195024599"/>
      <w:r>
        <w:rPr>
          <w:rFonts w:hint="eastAsia" w:asciiTheme="minorEastAsia" w:hAnsiTheme="minorEastAsia" w:eastAsiaTheme="minorEastAsia" w:cstheme="minorEastAsia"/>
        </w:rPr>
        <w:t>六、其他要求</w:t>
      </w:r>
      <w:bookmarkEnd w:id="12"/>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1、如遇临时重大会议或重要活动需中标人增派人员提供协助时，中标人必须无条件给予协调和帮助，产生的费用由采购人负责。</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2、采购人无偿为中标人提供物业管理办公室、存放清洁和安保用品的场地。</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3、各类用水用电费用（公共用水用电、办公用水用电）由采购人负责。</w:t>
      </w:r>
    </w:p>
    <w:p>
      <w:pPr>
        <w:pStyle w:val="2"/>
        <w:spacing w:before="120" w:after="120"/>
        <w:rPr>
          <w:rFonts w:asciiTheme="minorEastAsia" w:hAnsiTheme="minorEastAsia" w:eastAsiaTheme="minorEastAsia" w:cstheme="minorEastAsia"/>
        </w:rPr>
      </w:pPr>
      <w:bookmarkStart w:id="13" w:name="_Toc195024600"/>
      <w:r>
        <w:rPr>
          <w:rFonts w:hint="eastAsia" w:asciiTheme="minorEastAsia" w:hAnsiTheme="minorEastAsia" w:eastAsiaTheme="minorEastAsia" w:cstheme="minorEastAsia"/>
        </w:rPr>
        <w:t>七、考评要求</w:t>
      </w:r>
      <w:bookmarkEnd w:id="13"/>
    </w:p>
    <w:p>
      <w:pPr>
        <w:widowControl/>
        <w:wordWrap w:val="0"/>
        <w:adjustRightInd/>
        <w:spacing w:line="360" w:lineRule="auto"/>
        <w:ind w:firstLine="481"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b/>
          <w:iCs/>
          <w:sz w:val="24"/>
        </w:rPr>
        <w:t>汕头市档案馆、汕头市档案馆侨批分馆（侨批文物馆）考评要求</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1、采购人将根据外包服务项目具体服务内容、要求及标准对中标人进行每月考评，每月评分合计在90分以上（含90分）的为合格，物业管理费按100%支付；合计80-89分的每月物业管理费按90%支付；合计70-79分每月物业管理费按80%支付；合计60-69分每月物业管理费按70%支付，如一年内有两次评分合计在70分以下，采购人有权单方终止服务合同并扣除当月物业管理费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2、采购人将对中标人各班组工作人员到场人数进行不定期检查，若被检查的工种人员累计两次未到岗，按该工种月工资标准×缺员人数计算作为处罚金额扣除当月物业管理服务费用。</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iCs/>
          <w:sz w:val="24"/>
        </w:rPr>
        <w:t>评分表如下：</w:t>
      </w:r>
    </w:p>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p>
    <w:p>
      <w:pPr>
        <w:widowControl/>
        <w:adjustRightInd/>
        <w:spacing w:line="360" w:lineRule="auto"/>
        <w:ind w:firstLine="2409" w:firstLineChars="1000"/>
        <w:textAlignment w:val="auto"/>
        <w:rPr>
          <w:rFonts w:hint="eastAsia" w:asciiTheme="minorEastAsia" w:hAnsiTheme="minorEastAsia" w:eastAsiaTheme="minorEastAsia" w:cstheme="minorEastAsia"/>
          <w:b/>
          <w:bCs/>
          <w:iCs/>
          <w:sz w:val="24"/>
        </w:rPr>
      </w:pPr>
    </w:p>
    <w:p>
      <w:pPr>
        <w:widowControl/>
        <w:adjustRightInd/>
        <w:spacing w:line="360" w:lineRule="auto"/>
        <w:ind w:firstLine="2409" w:firstLineChars="1000"/>
        <w:textAlignment w:val="auto"/>
        <w:rPr>
          <w:rFonts w:hint="eastAsia" w:asciiTheme="minorEastAsia" w:hAnsiTheme="minorEastAsia" w:eastAsiaTheme="minorEastAsia" w:cstheme="minorEastAsia"/>
          <w:b/>
          <w:bCs/>
          <w:iCs/>
          <w:sz w:val="24"/>
        </w:rPr>
      </w:pPr>
    </w:p>
    <w:p>
      <w:pPr>
        <w:widowControl/>
        <w:adjustRightInd/>
        <w:spacing w:line="360" w:lineRule="auto"/>
        <w:ind w:firstLine="2409" w:firstLineChars="1000"/>
        <w:textAlignment w:val="auto"/>
        <w:rPr>
          <w:rFonts w:asciiTheme="minorEastAsia" w:hAnsiTheme="minorEastAsia" w:eastAsiaTheme="minorEastAsia" w:cstheme="minorEastAsia"/>
          <w:b/>
          <w:bCs/>
          <w:iCs/>
          <w:sz w:val="24"/>
        </w:rPr>
      </w:pPr>
      <w:r>
        <w:rPr>
          <w:rFonts w:hint="eastAsia" w:asciiTheme="minorEastAsia" w:hAnsiTheme="minorEastAsia" w:eastAsiaTheme="minorEastAsia" w:cstheme="minorEastAsia"/>
          <w:b/>
          <w:bCs/>
          <w:iCs/>
          <w:sz w:val="24"/>
        </w:rPr>
        <w:t>市档案馆物业管理服务验收评分表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4264"/>
        <w:gridCol w:w="1364"/>
        <w:gridCol w:w="1024"/>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考评时间</w:t>
            </w:r>
          </w:p>
        </w:tc>
        <w:tc>
          <w:tcPr>
            <w:tcW w:w="4125" w:type="pct"/>
            <w:gridSpan w:val="4"/>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检查内容</w:t>
            </w:r>
          </w:p>
        </w:tc>
        <w:tc>
          <w:tcPr>
            <w:tcW w:w="2278" w:type="pct"/>
            <w:vAlign w:val="center"/>
          </w:tcPr>
          <w:p>
            <w:pPr>
              <w:pStyle w:val="34"/>
              <w:snapToGrid w:val="0"/>
              <w:spacing w:before="0" w:beforeAutospacing="0" w:after="0" w:afterAutospacing="0"/>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rPr>
              <w:t>服    务   范   围</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分值</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评分</w:t>
            </w: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安全保卫</w:t>
            </w:r>
          </w:p>
        </w:tc>
        <w:tc>
          <w:tcPr>
            <w:tcW w:w="2278"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见服务管理主要内容及具体要求</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20分</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卫生保洁</w:t>
            </w:r>
          </w:p>
        </w:tc>
        <w:tc>
          <w:tcPr>
            <w:tcW w:w="2278"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见服务管理主要内容及具体要求</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20分</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设备维护</w:t>
            </w:r>
          </w:p>
        </w:tc>
        <w:tc>
          <w:tcPr>
            <w:tcW w:w="2278"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见服务管理主要内容及具体要求</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20分</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绿化管养及四害消杀</w:t>
            </w:r>
          </w:p>
        </w:tc>
        <w:tc>
          <w:tcPr>
            <w:tcW w:w="2278"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见服务管理主要内容及具体要求</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15分</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食堂管理</w:t>
            </w:r>
          </w:p>
        </w:tc>
        <w:tc>
          <w:tcPr>
            <w:tcW w:w="2278"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见服务管理主要内容及具体要求</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15分</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附加评分</w:t>
            </w:r>
          </w:p>
          <w:p>
            <w:pPr>
              <w:pStyle w:val="34"/>
              <w:snapToGrid w:val="0"/>
              <w:spacing w:before="0" w:beforeAutospacing="0" w:after="0" w:afterAutospacing="0"/>
              <w:jc w:val="center"/>
              <w:rPr>
                <w:rFonts w:asciiTheme="minorEastAsia" w:hAnsiTheme="minorEastAsia" w:eastAsiaTheme="minorEastAsia" w:cstheme="minorEastAsia"/>
              </w:rPr>
            </w:pPr>
          </w:p>
        </w:tc>
        <w:tc>
          <w:tcPr>
            <w:tcW w:w="2278" w:type="pct"/>
            <w:vAlign w:val="center"/>
          </w:tcPr>
          <w:p>
            <w:pPr>
              <w:pStyle w:val="34"/>
              <w:snapToGrid w:val="0"/>
              <w:spacing w:before="0" w:beforeAutospacing="0" w:after="0" w:afterAutospacing="0"/>
              <w:rPr>
                <w:rFonts w:asciiTheme="minorEastAsia" w:hAnsiTheme="minorEastAsia" w:eastAsiaTheme="minorEastAsia" w:cstheme="minorEastAsia"/>
              </w:rPr>
            </w:pPr>
            <w:r>
              <w:rPr>
                <w:rFonts w:hint="eastAsia" w:asciiTheme="minorEastAsia" w:hAnsiTheme="minorEastAsia" w:eastAsiaTheme="minorEastAsia" w:cstheme="minorEastAsia"/>
              </w:rPr>
              <w:t>主要是对物业公司管理总体水平的综合测评，在物业管理服务过程中，若被工作人员或群众投诉，经调查属实责任在物业单位的每次扣1分；被上级领导或主管部门批评，情况属实责任在物业单位的每次扣3分。</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10分</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4" w:type="pct"/>
            <w:gridSpan w:val="2"/>
            <w:vAlign w:val="center"/>
          </w:tcPr>
          <w:p>
            <w:pPr>
              <w:pStyle w:val="34"/>
              <w:snapToGrid w:val="0"/>
              <w:spacing w:before="0" w:beforeAutospacing="0" w:after="0" w:afterAutospacing="0"/>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100分</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考评人签名</w:t>
            </w:r>
          </w:p>
        </w:tc>
        <w:tc>
          <w:tcPr>
            <w:tcW w:w="3007" w:type="pct"/>
            <w:gridSpan w:val="2"/>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乙方</w:t>
            </w:r>
          </w:p>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确认</w:t>
            </w: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bl>
    <w:p>
      <w:pPr>
        <w:widowControl/>
        <w:adjustRightInd/>
        <w:spacing w:line="360" w:lineRule="auto"/>
        <w:textAlignment w:val="auto"/>
        <w:rPr>
          <w:rFonts w:asciiTheme="minorEastAsia" w:hAnsiTheme="minorEastAsia" w:eastAsiaTheme="minorEastAsia" w:cstheme="minorEastAsia"/>
          <w:b/>
          <w:bCs/>
          <w:sz w:val="24"/>
        </w:rPr>
      </w:pPr>
    </w:p>
    <w:p>
      <w:pPr>
        <w:widowControl/>
        <w:adjustRightInd/>
        <w:spacing w:line="360" w:lineRule="auto"/>
        <w:textAlignment w:val="auto"/>
        <w:rPr>
          <w:rFonts w:asciiTheme="minorEastAsia" w:hAnsiTheme="minorEastAsia" w:eastAsiaTheme="minorEastAsia" w:cstheme="minorEastAsia"/>
          <w:b/>
          <w:bCs/>
          <w:sz w:val="24"/>
        </w:rPr>
      </w:pPr>
    </w:p>
    <w:p>
      <w:pPr>
        <w:widowControl/>
        <w:adjustRightInd/>
        <w:spacing w:line="360" w:lineRule="auto"/>
        <w:ind w:firstLine="2409" w:firstLineChars="1000"/>
        <w:textAlignment w:val="auto"/>
        <w:rPr>
          <w:rFonts w:hint="eastAsia" w:asciiTheme="minorEastAsia" w:hAnsiTheme="minorEastAsia" w:eastAsiaTheme="minorEastAsia" w:cstheme="minorEastAsia"/>
          <w:b/>
          <w:bCs/>
          <w:sz w:val="24"/>
        </w:rPr>
      </w:pPr>
    </w:p>
    <w:p>
      <w:pPr>
        <w:widowControl/>
        <w:adjustRightInd/>
        <w:spacing w:line="360" w:lineRule="auto"/>
        <w:ind w:firstLine="2409" w:firstLineChars="1000"/>
        <w:textAlignment w:val="auto"/>
        <w:rPr>
          <w:rFonts w:hint="eastAsia" w:asciiTheme="minorEastAsia" w:hAnsiTheme="minorEastAsia" w:eastAsiaTheme="minorEastAsia" w:cstheme="minorEastAsia"/>
          <w:b/>
          <w:bCs/>
          <w:sz w:val="24"/>
        </w:rPr>
      </w:pPr>
    </w:p>
    <w:p>
      <w:pPr>
        <w:widowControl/>
        <w:adjustRightInd/>
        <w:spacing w:line="360" w:lineRule="auto"/>
        <w:ind w:firstLine="2409" w:firstLineChars="1000"/>
        <w:textAlignment w:val="auto"/>
        <w:rPr>
          <w:rFonts w:hint="eastAsia" w:asciiTheme="minorEastAsia" w:hAnsiTheme="minorEastAsia" w:eastAsiaTheme="minorEastAsia" w:cstheme="minorEastAsia"/>
          <w:b/>
          <w:bCs/>
          <w:sz w:val="24"/>
        </w:rPr>
      </w:pPr>
    </w:p>
    <w:p>
      <w:pPr>
        <w:widowControl/>
        <w:adjustRightInd/>
        <w:spacing w:line="360" w:lineRule="auto"/>
        <w:ind w:firstLine="2409" w:firstLineChars="1000"/>
        <w:textAlignment w:val="auto"/>
        <w:rPr>
          <w:rFonts w:hint="eastAsia" w:asciiTheme="minorEastAsia" w:hAnsiTheme="minorEastAsia" w:eastAsiaTheme="minorEastAsia" w:cstheme="minorEastAsia"/>
          <w:b/>
          <w:bCs/>
          <w:sz w:val="24"/>
        </w:rPr>
      </w:pPr>
    </w:p>
    <w:p>
      <w:pPr>
        <w:widowControl/>
        <w:adjustRightInd/>
        <w:spacing w:line="360" w:lineRule="auto"/>
        <w:ind w:firstLine="2409" w:firstLineChars="1000"/>
        <w:textAlignment w:val="auto"/>
        <w:rPr>
          <w:rFonts w:hint="eastAsia" w:asciiTheme="minorEastAsia" w:hAnsiTheme="minorEastAsia" w:eastAsiaTheme="minorEastAsia" w:cstheme="minorEastAsia"/>
          <w:b/>
          <w:bCs/>
          <w:sz w:val="24"/>
        </w:rPr>
      </w:pPr>
    </w:p>
    <w:p>
      <w:pPr>
        <w:widowControl/>
        <w:adjustRightInd/>
        <w:spacing w:line="360" w:lineRule="auto"/>
        <w:ind w:firstLine="2409" w:firstLineChars="1000"/>
        <w:textAlignment w:val="auto"/>
        <w:rPr>
          <w:rFonts w:hint="eastAsia" w:asciiTheme="minorEastAsia" w:hAnsiTheme="minorEastAsia" w:eastAsiaTheme="minorEastAsia" w:cstheme="minorEastAsia"/>
          <w:b/>
          <w:bCs/>
          <w:sz w:val="24"/>
        </w:rPr>
      </w:pPr>
    </w:p>
    <w:p>
      <w:pPr>
        <w:widowControl/>
        <w:adjustRightInd/>
        <w:spacing w:line="360" w:lineRule="auto"/>
        <w:ind w:firstLine="2409" w:firstLineChars="1000"/>
        <w:textAlignment w:val="auto"/>
        <w:rPr>
          <w:rFonts w:hint="eastAsia" w:asciiTheme="minorEastAsia" w:hAnsiTheme="minorEastAsia" w:eastAsiaTheme="minorEastAsia" w:cstheme="minorEastAsia"/>
          <w:b/>
          <w:bCs/>
          <w:sz w:val="24"/>
        </w:rPr>
      </w:pPr>
    </w:p>
    <w:p>
      <w:pPr>
        <w:widowControl/>
        <w:adjustRightInd/>
        <w:spacing w:line="360" w:lineRule="auto"/>
        <w:ind w:firstLine="2409" w:firstLineChars="1000"/>
        <w:textAlignment w:val="auto"/>
        <w:rPr>
          <w:rFonts w:hint="eastAsia" w:asciiTheme="minorEastAsia" w:hAnsiTheme="minorEastAsia" w:eastAsiaTheme="minorEastAsia" w:cstheme="minorEastAsia"/>
          <w:b/>
          <w:bCs/>
          <w:sz w:val="24"/>
        </w:rPr>
      </w:pPr>
    </w:p>
    <w:p>
      <w:pPr>
        <w:widowControl/>
        <w:adjustRightInd/>
        <w:spacing w:line="360" w:lineRule="auto"/>
        <w:ind w:firstLine="2409" w:firstLineChars="1000"/>
        <w:textAlignment w:val="auto"/>
        <w:rPr>
          <w:rFonts w:hint="eastAsia" w:asciiTheme="minorEastAsia" w:hAnsiTheme="minorEastAsia" w:eastAsiaTheme="minorEastAsia" w:cstheme="minorEastAsia"/>
          <w:b/>
          <w:bCs/>
          <w:sz w:val="24"/>
        </w:rPr>
      </w:pPr>
    </w:p>
    <w:p>
      <w:pPr>
        <w:widowControl/>
        <w:adjustRightInd/>
        <w:spacing w:line="360" w:lineRule="auto"/>
        <w:ind w:firstLine="2409" w:firstLineChars="1000"/>
        <w:textAlignment w:val="auto"/>
        <w:rPr>
          <w:rFonts w:asciiTheme="minorEastAsia" w:hAnsiTheme="minorEastAsia" w:eastAsiaTheme="minorEastAsia" w:cstheme="minorEastAsia"/>
          <w:iCs/>
          <w:sz w:val="24"/>
        </w:rPr>
      </w:pPr>
      <w:r>
        <w:rPr>
          <w:rFonts w:hint="eastAsia" w:asciiTheme="minorEastAsia" w:hAnsiTheme="minorEastAsia" w:eastAsiaTheme="minorEastAsia" w:cstheme="minorEastAsia"/>
          <w:b/>
          <w:bCs/>
          <w:sz w:val="24"/>
        </w:rPr>
        <w:t>侨批分物馆</w:t>
      </w:r>
      <w:r>
        <w:rPr>
          <w:rFonts w:hint="eastAsia" w:asciiTheme="minorEastAsia" w:hAnsiTheme="minorEastAsia" w:eastAsiaTheme="minorEastAsia" w:cstheme="minorEastAsia"/>
          <w:b/>
          <w:bCs/>
          <w:iCs/>
          <w:sz w:val="24"/>
        </w:rPr>
        <w:t>物业管理服务验收评分表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4264"/>
        <w:gridCol w:w="1364"/>
        <w:gridCol w:w="1024"/>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考评时间</w:t>
            </w:r>
          </w:p>
        </w:tc>
        <w:tc>
          <w:tcPr>
            <w:tcW w:w="4125" w:type="pct"/>
            <w:gridSpan w:val="4"/>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检查内容</w:t>
            </w:r>
          </w:p>
        </w:tc>
        <w:tc>
          <w:tcPr>
            <w:tcW w:w="2278" w:type="pct"/>
            <w:vAlign w:val="center"/>
          </w:tcPr>
          <w:p>
            <w:pPr>
              <w:pStyle w:val="34"/>
              <w:snapToGrid w:val="0"/>
              <w:spacing w:before="0" w:beforeAutospacing="0" w:after="0" w:afterAutospacing="0"/>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rPr>
              <w:t>服    务   范   围</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分值</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评分</w:t>
            </w: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安全保卫</w:t>
            </w:r>
          </w:p>
        </w:tc>
        <w:tc>
          <w:tcPr>
            <w:tcW w:w="2278"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见服务管理主要内容及具体要求</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30分</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卫生保洁</w:t>
            </w:r>
          </w:p>
        </w:tc>
        <w:tc>
          <w:tcPr>
            <w:tcW w:w="2278"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见服务管理主要内容及具体要求</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20分</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设备维护</w:t>
            </w:r>
          </w:p>
        </w:tc>
        <w:tc>
          <w:tcPr>
            <w:tcW w:w="2278"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见服务管理主要内容及具体要求</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20分</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四害消杀</w:t>
            </w:r>
          </w:p>
        </w:tc>
        <w:tc>
          <w:tcPr>
            <w:tcW w:w="2278"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见服务管理主要内容及具体要求</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20分</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附加评分</w:t>
            </w:r>
          </w:p>
          <w:p>
            <w:pPr>
              <w:pStyle w:val="34"/>
              <w:snapToGrid w:val="0"/>
              <w:spacing w:before="0" w:beforeAutospacing="0" w:after="0" w:afterAutospacing="0"/>
              <w:jc w:val="center"/>
              <w:rPr>
                <w:rFonts w:asciiTheme="minorEastAsia" w:hAnsiTheme="minorEastAsia" w:eastAsiaTheme="minorEastAsia" w:cstheme="minorEastAsia"/>
              </w:rPr>
            </w:pPr>
          </w:p>
        </w:tc>
        <w:tc>
          <w:tcPr>
            <w:tcW w:w="2278" w:type="pct"/>
            <w:vAlign w:val="center"/>
          </w:tcPr>
          <w:p>
            <w:pPr>
              <w:pStyle w:val="34"/>
              <w:snapToGrid w:val="0"/>
              <w:spacing w:before="0" w:beforeAutospacing="0" w:after="0" w:afterAutospacing="0"/>
              <w:rPr>
                <w:rFonts w:asciiTheme="minorEastAsia" w:hAnsiTheme="minorEastAsia" w:eastAsiaTheme="minorEastAsia" w:cstheme="minorEastAsia"/>
              </w:rPr>
            </w:pPr>
            <w:r>
              <w:rPr>
                <w:rFonts w:hint="eastAsia" w:asciiTheme="minorEastAsia" w:hAnsiTheme="minorEastAsia" w:eastAsiaTheme="minorEastAsia" w:cstheme="minorEastAsia"/>
              </w:rPr>
              <w:t>主要是对物业公司管理总体水平的综合测评，在物业管理服务过程中，若被工作人员或群众投诉，经调查属实责任在物业单位的每次扣1分；被上级领导或主管部门批评，情况属实责任在物业单位的每次扣3分。</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10分</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154" w:type="pct"/>
            <w:gridSpan w:val="2"/>
            <w:vAlign w:val="center"/>
          </w:tcPr>
          <w:p>
            <w:pPr>
              <w:pStyle w:val="34"/>
              <w:snapToGrid w:val="0"/>
              <w:spacing w:before="0" w:beforeAutospacing="0" w:after="0" w:afterAutospacing="0"/>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729"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100分</w:t>
            </w: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75"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考评人签名</w:t>
            </w:r>
          </w:p>
        </w:tc>
        <w:tc>
          <w:tcPr>
            <w:tcW w:w="3007" w:type="pct"/>
            <w:gridSpan w:val="2"/>
            <w:vAlign w:val="center"/>
          </w:tcPr>
          <w:p>
            <w:pPr>
              <w:pStyle w:val="34"/>
              <w:snapToGrid w:val="0"/>
              <w:spacing w:before="0" w:beforeAutospacing="0" w:after="0" w:afterAutospacing="0"/>
              <w:jc w:val="center"/>
              <w:rPr>
                <w:rFonts w:asciiTheme="minorEastAsia" w:hAnsiTheme="minorEastAsia" w:eastAsiaTheme="minorEastAsia" w:cstheme="minorEastAsia"/>
              </w:rPr>
            </w:pPr>
          </w:p>
        </w:tc>
        <w:tc>
          <w:tcPr>
            <w:tcW w:w="547"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乙方</w:t>
            </w:r>
          </w:p>
          <w:p>
            <w:pPr>
              <w:pStyle w:val="34"/>
              <w:snapToGrid w:val="0"/>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确认</w:t>
            </w:r>
          </w:p>
        </w:tc>
        <w:tc>
          <w:tcPr>
            <w:tcW w:w="571" w:type="pct"/>
            <w:vAlign w:val="center"/>
          </w:tcPr>
          <w:p>
            <w:pPr>
              <w:pStyle w:val="34"/>
              <w:snapToGrid w:val="0"/>
              <w:spacing w:before="0" w:beforeAutospacing="0" w:after="0" w:afterAutospacing="0"/>
              <w:jc w:val="center"/>
              <w:rPr>
                <w:rFonts w:asciiTheme="minorEastAsia" w:hAnsiTheme="minorEastAsia" w:eastAsiaTheme="minorEastAsia" w:cstheme="minorEastAsia"/>
              </w:rPr>
            </w:pPr>
          </w:p>
        </w:tc>
      </w:tr>
    </w:tbl>
    <w:p>
      <w:pPr>
        <w:widowControl/>
        <w:wordWrap w:val="0"/>
        <w:adjustRightInd/>
        <w:spacing w:line="360" w:lineRule="auto"/>
        <w:ind w:firstLine="480" w:firstLineChars="200"/>
        <w:jc w:val="left"/>
        <w:textAlignment w:val="auto"/>
        <w:rPr>
          <w:rFonts w:asciiTheme="minorEastAsia" w:hAnsiTheme="minorEastAsia" w:eastAsiaTheme="minorEastAsia" w:cstheme="minorEastAsia"/>
          <w:iCs/>
          <w:sz w:val="24"/>
        </w:rPr>
      </w:pPr>
    </w:p>
    <w:p>
      <w:pPr>
        <w:widowControl/>
        <w:adjustRightInd/>
        <w:spacing w:line="240" w:lineRule="auto"/>
        <w:jc w:val="left"/>
        <w:textAlignment w:val="auto"/>
        <w:sectPr>
          <w:headerReference r:id="rId5" w:type="default"/>
          <w:footerReference r:id="rId6" w:type="default"/>
          <w:pgSz w:w="11906" w:h="16838"/>
          <w:pgMar w:top="1383" w:right="1383" w:bottom="1383" w:left="1383" w:header="851" w:footer="992" w:gutter="0"/>
          <w:pgNumType w:fmt="decimal"/>
          <w:cols w:space="720" w:num="1"/>
          <w:docGrid w:linePitch="312" w:charSpace="0"/>
        </w:sectPr>
      </w:pPr>
      <w:r>
        <w:rPr>
          <w:rFonts w:hint="eastAsia" w:asciiTheme="minorEastAsia" w:hAnsiTheme="minorEastAsia" w:eastAsiaTheme="minorEastAsia" w:cstheme="minorEastAsia"/>
          <w:b/>
          <w:bCs/>
          <w:sz w:val="24"/>
        </w:rPr>
        <w:br w:type="page"/>
      </w:r>
      <w:bookmarkEnd w:id="8"/>
      <w:bookmarkEnd w:id="9"/>
      <w:bookmarkEnd w:id="10"/>
      <w:bookmarkStart w:id="14" w:name="_Toc12048"/>
    </w:p>
    <w:bookmarkEnd w:id="14"/>
    <w:p>
      <w:pPr>
        <w:snapToGrid w:val="0"/>
        <w:spacing w:line="240" w:lineRule="auto"/>
        <w:ind w:firstLine="3855" w:firstLineChars="1200"/>
        <w:jc w:val="both"/>
        <w:outlineLvl w:val="1"/>
        <w:rPr>
          <w:rFonts w:ascii="宋体" w:hAnsi="宋体" w:cs="宋体"/>
          <w:b/>
          <w:kern w:val="2"/>
          <w:sz w:val="32"/>
          <w:szCs w:val="32"/>
        </w:rPr>
      </w:pPr>
      <w:bookmarkStart w:id="15" w:name="_Toc195024606"/>
      <w:bookmarkStart w:id="16" w:name="_Toc194073133"/>
      <w:bookmarkStart w:id="17" w:name="_Toc31222"/>
      <w:r>
        <w:rPr>
          <w:rFonts w:hint="eastAsia" w:ascii="宋体" w:hAnsi="宋体" w:cs="宋体"/>
          <w:b/>
          <w:kern w:val="2"/>
          <w:sz w:val="32"/>
          <w:szCs w:val="32"/>
        </w:rPr>
        <w:t>报价表</w:t>
      </w:r>
      <w:bookmarkEnd w:id="15"/>
      <w:bookmarkEnd w:id="16"/>
    </w:p>
    <w:p>
      <w:pPr>
        <w:spacing w:before="176" w:line="240" w:lineRule="auto"/>
        <w:ind w:left="-426" w:leftChars="-213" w:right="-46"/>
        <w:jc w:val="right"/>
        <w:rPr>
          <w:rFonts w:cs="仿宋" w:asciiTheme="minorEastAsia" w:hAnsiTheme="minorEastAsia" w:eastAsiaTheme="minorEastAsia"/>
          <w:spacing w:val="-16"/>
          <w:sz w:val="24"/>
        </w:rPr>
      </w:pPr>
      <w:r>
        <w:rPr>
          <w:rFonts w:hint="eastAsia" w:cs="仿宋" w:asciiTheme="minorEastAsia" w:hAnsiTheme="minorEastAsia" w:eastAsiaTheme="minorEastAsia"/>
          <w:spacing w:val="-16"/>
          <w:sz w:val="24"/>
        </w:rPr>
        <w:t>[价格单位：</w:t>
      </w:r>
      <w:r>
        <w:rPr>
          <w:rFonts w:hint="eastAsia" w:cs="仿宋" w:asciiTheme="minorEastAsia" w:hAnsiTheme="minorEastAsia" w:eastAsiaTheme="minorEastAsia"/>
          <w:b/>
          <w:spacing w:val="-16"/>
          <w:sz w:val="24"/>
        </w:rPr>
        <w:t>(人民币)元</w:t>
      </w:r>
      <w:r>
        <w:rPr>
          <w:rFonts w:hint="eastAsia" w:cs="仿宋" w:asciiTheme="minorEastAsia" w:hAnsiTheme="minorEastAsia" w:eastAsiaTheme="minorEastAsia"/>
          <w:spacing w:val="-16"/>
          <w:sz w:val="24"/>
        </w:rPr>
        <w:t>]</w:t>
      </w:r>
    </w:p>
    <w:tbl>
      <w:tblPr>
        <w:tblStyle w:val="39"/>
        <w:tblW w:w="5144"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827"/>
        <w:gridCol w:w="458"/>
        <w:gridCol w:w="985"/>
        <w:gridCol w:w="1107"/>
        <w:gridCol w:w="924"/>
        <w:gridCol w:w="924"/>
        <w:gridCol w:w="1154"/>
        <w:gridCol w:w="1135"/>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jc w:val="center"/>
              <w:rPr>
                <w:rFonts w:asciiTheme="minorEastAsia" w:hAnsiTheme="minorEastAsia" w:eastAsiaTheme="minorEastAsia"/>
                <w:sz w:val="24"/>
              </w:rPr>
            </w:pPr>
            <w:r>
              <w:rPr>
                <w:rFonts w:hint="eastAsia" w:asciiTheme="minorEastAsia" w:hAnsiTheme="minorEastAsia" w:eastAsiaTheme="minorEastAsia"/>
                <w:b/>
                <w:bCs/>
                <w:sz w:val="24"/>
              </w:rPr>
              <w:t>序号</w:t>
            </w:r>
          </w:p>
        </w:tc>
        <w:tc>
          <w:tcPr>
            <w:tcW w:w="961" w:type="pct"/>
            <w:vAlign w:val="center"/>
          </w:tcPr>
          <w:p>
            <w:pPr>
              <w:jc w:val="center"/>
              <w:rPr>
                <w:rFonts w:asciiTheme="minorEastAsia" w:hAnsiTheme="minorEastAsia" w:eastAsiaTheme="minorEastAsia"/>
                <w:sz w:val="24"/>
              </w:rPr>
            </w:pPr>
            <w:r>
              <w:rPr>
                <w:rFonts w:hint="eastAsia" w:asciiTheme="minorEastAsia" w:hAnsiTheme="minorEastAsia" w:eastAsiaTheme="minorEastAsia"/>
                <w:b/>
                <w:bCs/>
                <w:sz w:val="24"/>
              </w:rPr>
              <w:t>项目名称</w:t>
            </w:r>
          </w:p>
        </w:tc>
        <w:tc>
          <w:tcPr>
            <w:tcW w:w="241" w:type="pct"/>
            <w:vAlign w:val="center"/>
          </w:tcPr>
          <w:p>
            <w:pPr>
              <w:jc w:val="center"/>
              <w:rPr>
                <w:rFonts w:asciiTheme="minorEastAsia" w:hAnsiTheme="minorEastAsia" w:eastAsiaTheme="minorEastAsia"/>
                <w:sz w:val="24"/>
              </w:rPr>
            </w:pPr>
            <w:r>
              <w:rPr>
                <w:rFonts w:hint="eastAsia" w:asciiTheme="minorEastAsia" w:hAnsiTheme="minorEastAsia" w:eastAsiaTheme="minorEastAsia"/>
                <w:b/>
                <w:bCs/>
                <w:sz w:val="24"/>
              </w:rPr>
              <w:t>人数</w:t>
            </w:r>
          </w:p>
        </w:tc>
        <w:tc>
          <w:tcPr>
            <w:tcW w:w="518" w:type="pct"/>
            <w:vAlign w:val="center"/>
          </w:tcPr>
          <w:p>
            <w:pPr>
              <w:jc w:val="center"/>
              <w:rPr>
                <w:rFonts w:asciiTheme="minorEastAsia" w:hAnsiTheme="minorEastAsia" w:eastAsiaTheme="minorEastAsia"/>
                <w:sz w:val="24"/>
              </w:rPr>
            </w:pPr>
            <w:r>
              <w:rPr>
                <w:rFonts w:hint="eastAsia" w:asciiTheme="minorEastAsia" w:hAnsiTheme="minorEastAsia" w:eastAsiaTheme="minorEastAsia"/>
                <w:b/>
                <w:bCs/>
                <w:sz w:val="24"/>
              </w:rPr>
              <w:t>人工成本(元/月)</w:t>
            </w:r>
          </w:p>
        </w:tc>
        <w:tc>
          <w:tcPr>
            <w:tcW w:w="582" w:type="pct"/>
            <w:vAlign w:val="center"/>
          </w:tcPr>
          <w:p>
            <w:pPr>
              <w:jc w:val="center"/>
              <w:rPr>
                <w:rFonts w:asciiTheme="minorEastAsia" w:hAnsiTheme="minorEastAsia" w:eastAsiaTheme="minorEastAsia"/>
                <w:sz w:val="24"/>
              </w:rPr>
            </w:pPr>
            <w:r>
              <w:rPr>
                <w:rFonts w:hint="eastAsia" w:asciiTheme="minorEastAsia" w:hAnsiTheme="minorEastAsia" w:eastAsiaTheme="minorEastAsia"/>
                <w:b/>
                <w:bCs/>
                <w:sz w:val="24"/>
              </w:rPr>
              <w:t>其他费用(元/月)</w:t>
            </w:r>
          </w:p>
        </w:tc>
        <w:tc>
          <w:tcPr>
            <w:tcW w:w="486" w:type="pct"/>
            <w:vAlign w:val="center"/>
          </w:tcPr>
          <w:p>
            <w:pPr>
              <w:jc w:val="center"/>
              <w:rPr>
                <w:rFonts w:asciiTheme="minorEastAsia" w:hAnsiTheme="minorEastAsia" w:eastAsiaTheme="minorEastAsia"/>
                <w:sz w:val="24"/>
              </w:rPr>
            </w:pPr>
            <w:r>
              <w:rPr>
                <w:rFonts w:hint="eastAsia" w:asciiTheme="minorEastAsia" w:hAnsiTheme="minorEastAsia" w:eastAsiaTheme="minorEastAsia"/>
                <w:b/>
                <w:bCs/>
                <w:sz w:val="24"/>
              </w:rPr>
              <w:t>管理费(元/月)</w:t>
            </w:r>
          </w:p>
        </w:tc>
        <w:tc>
          <w:tcPr>
            <w:tcW w:w="486" w:type="pct"/>
            <w:vAlign w:val="center"/>
          </w:tcPr>
          <w:p>
            <w:pPr>
              <w:jc w:val="center"/>
              <w:rPr>
                <w:rFonts w:asciiTheme="minorEastAsia" w:hAnsiTheme="minorEastAsia" w:eastAsiaTheme="minorEastAsia"/>
                <w:sz w:val="24"/>
              </w:rPr>
            </w:pPr>
            <w:r>
              <w:rPr>
                <w:rFonts w:hint="eastAsia" w:asciiTheme="minorEastAsia" w:hAnsiTheme="minorEastAsia" w:eastAsiaTheme="minorEastAsia"/>
                <w:b/>
                <w:bCs/>
                <w:sz w:val="24"/>
              </w:rPr>
              <w:t>税费(元/月)</w:t>
            </w:r>
          </w:p>
        </w:tc>
        <w:tc>
          <w:tcPr>
            <w:tcW w:w="607" w:type="pct"/>
            <w:vAlign w:val="center"/>
          </w:tcPr>
          <w:p>
            <w:pPr>
              <w:jc w:val="center"/>
              <w:rPr>
                <w:rFonts w:asciiTheme="minorEastAsia" w:hAnsiTheme="minorEastAsia" w:eastAsiaTheme="minorEastAsia"/>
                <w:sz w:val="24"/>
              </w:rPr>
            </w:pPr>
            <w:r>
              <w:rPr>
                <w:rFonts w:hint="eastAsia" w:asciiTheme="minorEastAsia" w:hAnsiTheme="minorEastAsia" w:eastAsiaTheme="minorEastAsia"/>
                <w:b/>
                <w:bCs/>
                <w:sz w:val="24"/>
              </w:rPr>
              <w:t>小计(元/月)</w:t>
            </w:r>
          </w:p>
        </w:tc>
        <w:tc>
          <w:tcPr>
            <w:tcW w:w="597" w:type="pct"/>
            <w:vAlign w:val="center"/>
          </w:tcPr>
          <w:p>
            <w:pPr>
              <w:jc w:val="center"/>
              <w:rPr>
                <w:rFonts w:asciiTheme="minorEastAsia" w:hAnsiTheme="minorEastAsia" w:eastAsiaTheme="minorEastAsia"/>
                <w:sz w:val="24"/>
              </w:rPr>
            </w:pPr>
            <w:r>
              <w:rPr>
                <w:rFonts w:hint="eastAsia" w:asciiTheme="minorEastAsia" w:hAnsiTheme="minorEastAsia" w:eastAsiaTheme="minorEastAsia"/>
                <w:b/>
                <w:bCs/>
                <w:sz w:val="24"/>
              </w:rPr>
              <w:t>人均费用（元/月/人）</w:t>
            </w:r>
          </w:p>
        </w:tc>
        <w:tc>
          <w:tcPr>
            <w:tcW w:w="24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vAlign w:val="center"/>
          </w:tcPr>
          <w:p>
            <w:pPr>
              <w:jc w:val="left"/>
              <w:rPr>
                <w:rFonts w:asciiTheme="minorEastAsia" w:hAnsiTheme="minorEastAsia" w:eastAsiaTheme="minorEastAsia"/>
                <w:b/>
                <w:bCs/>
                <w:color w:val="000000"/>
                <w:sz w:val="24"/>
              </w:rPr>
            </w:pPr>
            <w:r>
              <w:rPr>
                <w:rFonts w:ascii="宋体" w:hAnsi="宋体" w:cs="宋体"/>
                <w:b/>
                <w:iCs/>
                <w:sz w:val="24"/>
              </w:rPr>
              <w:t>（一）</w:t>
            </w:r>
            <w:r>
              <w:rPr>
                <w:rFonts w:hint="eastAsia" w:ascii="宋体" w:hAnsi="宋体" w:cs="宋体"/>
                <w:b/>
                <w:iCs/>
                <w:sz w:val="24"/>
              </w:rPr>
              <w:t>汕头市档案馆物业管理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9"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961" w:type="pct"/>
            <w:vAlign w:val="center"/>
          </w:tcPr>
          <w:p>
            <w:pPr>
              <w:jc w:val="center"/>
              <w:rPr>
                <w:rFonts w:asciiTheme="minorEastAsia" w:hAnsiTheme="minorEastAsia" w:eastAsiaTheme="minorEastAsia"/>
                <w:sz w:val="24"/>
              </w:rPr>
            </w:pPr>
            <w:r>
              <w:rPr>
                <w:rFonts w:hint="eastAsia" w:asciiTheme="minorEastAsia" w:hAnsiTheme="minorEastAsia" w:eastAsiaTheme="minorEastAsia"/>
                <w:color w:val="000000"/>
                <w:sz w:val="24"/>
              </w:rPr>
              <w:t>保安班长（项目负责人）</w:t>
            </w:r>
          </w:p>
        </w:tc>
        <w:tc>
          <w:tcPr>
            <w:tcW w:w="241" w:type="pct"/>
            <w:vAlign w:val="center"/>
          </w:tcPr>
          <w:p>
            <w:pPr>
              <w:jc w:val="center"/>
              <w:rPr>
                <w:rFonts w:asciiTheme="minorEastAsia" w:hAnsiTheme="minorEastAsia" w:eastAsiaTheme="minorEastAsia"/>
                <w:sz w:val="24"/>
              </w:rPr>
            </w:pPr>
            <w:r>
              <w:rPr>
                <w:rFonts w:hint="eastAsia" w:asciiTheme="minorEastAsia" w:hAnsiTheme="minorEastAsia" w:eastAsiaTheme="minorEastAsia"/>
                <w:color w:val="000000"/>
                <w:sz w:val="24"/>
              </w:rPr>
              <w:t>1</w:t>
            </w:r>
          </w:p>
        </w:tc>
        <w:tc>
          <w:tcPr>
            <w:tcW w:w="518" w:type="pct"/>
            <w:vAlign w:val="center"/>
          </w:tcPr>
          <w:p>
            <w:pPr>
              <w:rPr>
                <w:rFonts w:asciiTheme="minorEastAsia" w:hAnsiTheme="minorEastAsia" w:eastAsiaTheme="minorEastAsia"/>
                <w:sz w:val="24"/>
              </w:rPr>
            </w:pPr>
          </w:p>
        </w:tc>
        <w:tc>
          <w:tcPr>
            <w:tcW w:w="582"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607" w:type="pct"/>
            <w:vAlign w:val="center"/>
          </w:tcPr>
          <w:p>
            <w:pPr>
              <w:rPr>
                <w:rFonts w:asciiTheme="minorEastAsia" w:hAnsiTheme="minorEastAsia" w:eastAsiaTheme="minorEastAsia"/>
                <w:sz w:val="24"/>
              </w:rPr>
            </w:pPr>
          </w:p>
        </w:tc>
        <w:tc>
          <w:tcPr>
            <w:tcW w:w="597" w:type="pct"/>
            <w:vAlign w:val="center"/>
          </w:tcPr>
          <w:p>
            <w:pPr>
              <w:rPr>
                <w:rFonts w:asciiTheme="minorEastAsia" w:hAnsiTheme="minorEastAsia" w:eastAsiaTheme="minorEastAsia"/>
                <w:sz w:val="24"/>
              </w:rPr>
            </w:pPr>
          </w:p>
        </w:tc>
        <w:tc>
          <w:tcPr>
            <w:tcW w:w="243" w:type="pct"/>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9"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961" w:type="pct"/>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保安员</w:t>
            </w:r>
          </w:p>
        </w:tc>
        <w:tc>
          <w:tcPr>
            <w:tcW w:w="241" w:type="pct"/>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518" w:type="pct"/>
            <w:vAlign w:val="center"/>
          </w:tcPr>
          <w:p>
            <w:pPr>
              <w:rPr>
                <w:rFonts w:asciiTheme="minorEastAsia" w:hAnsiTheme="minorEastAsia" w:eastAsiaTheme="minorEastAsia"/>
                <w:sz w:val="24"/>
              </w:rPr>
            </w:pPr>
          </w:p>
        </w:tc>
        <w:tc>
          <w:tcPr>
            <w:tcW w:w="582"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607" w:type="pct"/>
            <w:vAlign w:val="center"/>
          </w:tcPr>
          <w:p>
            <w:pPr>
              <w:rPr>
                <w:rFonts w:asciiTheme="minorEastAsia" w:hAnsiTheme="minorEastAsia" w:eastAsiaTheme="minorEastAsia"/>
                <w:sz w:val="24"/>
              </w:rPr>
            </w:pPr>
          </w:p>
        </w:tc>
        <w:tc>
          <w:tcPr>
            <w:tcW w:w="597" w:type="pct"/>
            <w:vAlign w:val="center"/>
          </w:tcPr>
          <w:p>
            <w:pPr>
              <w:rPr>
                <w:rFonts w:asciiTheme="minorEastAsia" w:hAnsiTheme="minorEastAsia" w:eastAsiaTheme="minorEastAsia"/>
                <w:sz w:val="24"/>
              </w:rPr>
            </w:pPr>
          </w:p>
        </w:tc>
        <w:tc>
          <w:tcPr>
            <w:tcW w:w="243" w:type="pct"/>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79"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961" w:type="pct"/>
            <w:vAlign w:val="center"/>
          </w:tcPr>
          <w:p>
            <w:pPr>
              <w:jc w:val="center"/>
              <w:rPr>
                <w:rFonts w:asciiTheme="minorEastAsia" w:hAnsiTheme="minorEastAsia" w:eastAsiaTheme="minorEastAsia"/>
                <w:sz w:val="24"/>
              </w:rPr>
            </w:pPr>
            <w:r>
              <w:rPr>
                <w:rFonts w:hint="eastAsia" w:asciiTheme="minorEastAsia" w:hAnsiTheme="minorEastAsia" w:eastAsiaTheme="minorEastAsia"/>
                <w:color w:val="000000"/>
                <w:sz w:val="24"/>
              </w:rPr>
              <w:t>后勤保障人员</w:t>
            </w:r>
          </w:p>
        </w:tc>
        <w:tc>
          <w:tcPr>
            <w:tcW w:w="241" w:type="pct"/>
            <w:vAlign w:val="center"/>
          </w:tcPr>
          <w:p>
            <w:pPr>
              <w:jc w:val="center"/>
              <w:rPr>
                <w:rFonts w:asciiTheme="minorEastAsia" w:hAnsiTheme="minorEastAsia" w:eastAsiaTheme="minorEastAsia"/>
                <w:sz w:val="24"/>
              </w:rPr>
            </w:pPr>
            <w:r>
              <w:rPr>
                <w:rFonts w:asciiTheme="minorEastAsia" w:hAnsiTheme="minorEastAsia" w:eastAsiaTheme="minorEastAsia"/>
                <w:color w:val="000000"/>
                <w:sz w:val="24"/>
              </w:rPr>
              <w:t>4</w:t>
            </w:r>
          </w:p>
        </w:tc>
        <w:tc>
          <w:tcPr>
            <w:tcW w:w="518" w:type="pct"/>
            <w:vAlign w:val="center"/>
          </w:tcPr>
          <w:p>
            <w:pPr>
              <w:rPr>
                <w:rFonts w:asciiTheme="minorEastAsia" w:hAnsiTheme="minorEastAsia" w:eastAsiaTheme="minorEastAsia"/>
                <w:sz w:val="24"/>
              </w:rPr>
            </w:pPr>
          </w:p>
        </w:tc>
        <w:tc>
          <w:tcPr>
            <w:tcW w:w="582"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607" w:type="pct"/>
            <w:vAlign w:val="center"/>
          </w:tcPr>
          <w:p>
            <w:pPr>
              <w:rPr>
                <w:rFonts w:asciiTheme="minorEastAsia" w:hAnsiTheme="minorEastAsia" w:eastAsiaTheme="minorEastAsia"/>
                <w:sz w:val="24"/>
              </w:rPr>
            </w:pPr>
          </w:p>
        </w:tc>
        <w:tc>
          <w:tcPr>
            <w:tcW w:w="597" w:type="pct"/>
            <w:vAlign w:val="center"/>
          </w:tcPr>
          <w:p>
            <w:pPr>
              <w:rPr>
                <w:rFonts w:asciiTheme="minorEastAsia" w:hAnsiTheme="minorEastAsia" w:eastAsiaTheme="minorEastAsia"/>
                <w:sz w:val="24"/>
              </w:rPr>
            </w:pPr>
          </w:p>
        </w:tc>
        <w:tc>
          <w:tcPr>
            <w:tcW w:w="243" w:type="pct"/>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79"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961" w:type="pct"/>
            <w:vAlign w:val="center"/>
          </w:tcPr>
          <w:p>
            <w:pPr>
              <w:jc w:val="center"/>
              <w:rPr>
                <w:rFonts w:asciiTheme="minorEastAsia" w:hAnsiTheme="minorEastAsia" w:eastAsiaTheme="minorEastAsia"/>
                <w:sz w:val="24"/>
              </w:rPr>
            </w:pPr>
            <w:r>
              <w:rPr>
                <w:rFonts w:hint="eastAsia" w:asciiTheme="minorEastAsia" w:hAnsiTheme="minorEastAsia" w:eastAsiaTheme="minorEastAsia"/>
                <w:color w:val="000000"/>
                <w:sz w:val="24"/>
              </w:rPr>
              <w:t>设备设施维修人员</w:t>
            </w:r>
          </w:p>
        </w:tc>
        <w:tc>
          <w:tcPr>
            <w:tcW w:w="241" w:type="pct"/>
            <w:vAlign w:val="center"/>
          </w:tcPr>
          <w:p>
            <w:pPr>
              <w:jc w:val="center"/>
              <w:rPr>
                <w:rFonts w:asciiTheme="minorEastAsia" w:hAnsiTheme="minorEastAsia" w:eastAsiaTheme="minorEastAsia"/>
                <w:sz w:val="24"/>
              </w:rPr>
            </w:pPr>
            <w:r>
              <w:rPr>
                <w:rFonts w:asciiTheme="minorEastAsia" w:hAnsiTheme="minorEastAsia" w:eastAsiaTheme="minorEastAsia"/>
                <w:color w:val="000000"/>
                <w:sz w:val="24"/>
              </w:rPr>
              <w:t>1</w:t>
            </w:r>
          </w:p>
        </w:tc>
        <w:tc>
          <w:tcPr>
            <w:tcW w:w="518" w:type="pct"/>
            <w:vAlign w:val="center"/>
          </w:tcPr>
          <w:p>
            <w:pPr>
              <w:rPr>
                <w:rFonts w:asciiTheme="minorEastAsia" w:hAnsiTheme="minorEastAsia" w:eastAsiaTheme="minorEastAsia"/>
                <w:sz w:val="24"/>
              </w:rPr>
            </w:pPr>
          </w:p>
        </w:tc>
        <w:tc>
          <w:tcPr>
            <w:tcW w:w="582"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607" w:type="pct"/>
            <w:vAlign w:val="center"/>
          </w:tcPr>
          <w:p>
            <w:pPr>
              <w:rPr>
                <w:rFonts w:asciiTheme="minorEastAsia" w:hAnsiTheme="minorEastAsia" w:eastAsiaTheme="minorEastAsia"/>
                <w:sz w:val="24"/>
              </w:rPr>
            </w:pPr>
          </w:p>
        </w:tc>
        <w:tc>
          <w:tcPr>
            <w:tcW w:w="597" w:type="pct"/>
            <w:vAlign w:val="center"/>
          </w:tcPr>
          <w:p>
            <w:pPr>
              <w:rPr>
                <w:rFonts w:asciiTheme="minorEastAsia" w:hAnsiTheme="minorEastAsia" w:eastAsiaTheme="minorEastAsia"/>
                <w:sz w:val="24"/>
              </w:rPr>
            </w:pPr>
          </w:p>
        </w:tc>
        <w:tc>
          <w:tcPr>
            <w:tcW w:w="243" w:type="pct"/>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240" w:type="pct"/>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月合计</w:t>
            </w:r>
          </w:p>
        </w:tc>
        <w:tc>
          <w:tcPr>
            <w:tcW w:w="241" w:type="pct"/>
            <w:vAlign w:val="center"/>
          </w:tcPr>
          <w:p>
            <w:pPr>
              <w:jc w:val="center"/>
              <w:rPr>
                <w:rFonts w:asciiTheme="minorEastAsia" w:hAnsiTheme="minorEastAsia" w:eastAsiaTheme="minorEastAsia"/>
                <w:b/>
                <w:sz w:val="24"/>
              </w:rPr>
            </w:pPr>
            <w:r>
              <w:rPr>
                <w:rFonts w:asciiTheme="minorEastAsia" w:hAnsiTheme="minorEastAsia" w:eastAsiaTheme="minorEastAsia"/>
                <w:b/>
                <w:sz w:val="24"/>
              </w:rPr>
              <w:t>12</w:t>
            </w:r>
          </w:p>
        </w:tc>
        <w:tc>
          <w:tcPr>
            <w:tcW w:w="518" w:type="pct"/>
            <w:vAlign w:val="center"/>
          </w:tcPr>
          <w:p>
            <w:pPr>
              <w:rPr>
                <w:rFonts w:asciiTheme="minorEastAsia" w:hAnsiTheme="minorEastAsia" w:eastAsiaTheme="minorEastAsia"/>
                <w:b/>
                <w:sz w:val="24"/>
              </w:rPr>
            </w:pPr>
          </w:p>
        </w:tc>
        <w:tc>
          <w:tcPr>
            <w:tcW w:w="582" w:type="pct"/>
            <w:vAlign w:val="center"/>
          </w:tcPr>
          <w:p>
            <w:pPr>
              <w:rPr>
                <w:rFonts w:asciiTheme="minorEastAsia" w:hAnsiTheme="minorEastAsia" w:eastAsiaTheme="minorEastAsia"/>
                <w:b/>
                <w:sz w:val="24"/>
              </w:rPr>
            </w:pPr>
          </w:p>
        </w:tc>
        <w:tc>
          <w:tcPr>
            <w:tcW w:w="486" w:type="pct"/>
            <w:vAlign w:val="center"/>
          </w:tcPr>
          <w:p>
            <w:pPr>
              <w:rPr>
                <w:rFonts w:asciiTheme="minorEastAsia" w:hAnsiTheme="minorEastAsia" w:eastAsiaTheme="minorEastAsia"/>
                <w:b/>
                <w:sz w:val="24"/>
              </w:rPr>
            </w:pPr>
          </w:p>
        </w:tc>
        <w:tc>
          <w:tcPr>
            <w:tcW w:w="486" w:type="pct"/>
            <w:vAlign w:val="center"/>
          </w:tcPr>
          <w:p>
            <w:pPr>
              <w:rPr>
                <w:rFonts w:asciiTheme="minorEastAsia" w:hAnsiTheme="minorEastAsia" w:eastAsiaTheme="minorEastAsia"/>
                <w:b/>
                <w:sz w:val="24"/>
              </w:rPr>
            </w:pPr>
          </w:p>
        </w:tc>
        <w:tc>
          <w:tcPr>
            <w:tcW w:w="607" w:type="pct"/>
            <w:vAlign w:val="center"/>
          </w:tcPr>
          <w:p>
            <w:pPr>
              <w:rPr>
                <w:rFonts w:asciiTheme="minorEastAsia" w:hAnsiTheme="minorEastAsia" w:eastAsiaTheme="minorEastAsia"/>
                <w:b/>
                <w:sz w:val="24"/>
              </w:rPr>
            </w:pPr>
          </w:p>
        </w:tc>
        <w:tc>
          <w:tcPr>
            <w:tcW w:w="597" w:type="pct"/>
            <w:vAlign w:val="center"/>
          </w:tcPr>
          <w:p>
            <w:pPr>
              <w:rPr>
                <w:rFonts w:asciiTheme="minorEastAsia" w:hAnsiTheme="minorEastAsia" w:eastAsiaTheme="minorEastAsia"/>
                <w:b/>
                <w:sz w:val="24"/>
              </w:rPr>
            </w:pPr>
          </w:p>
        </w:tc>
        <w:tc>
          <w:tcPr>
            <w:tcW w:w="243" w:type="pct"/>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40" w:type="pct"/>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年合计金额</w:t>
            </w:r>
          </w:p>
        </w:tc>
        <w:tc>
          <w:tcPr>
            <w:tcW w:w="241" w:type="pct"/>
            <w:vAlign w:val="center"/>
          </w:tcPr>
          <w:p>
            <w:pPr>
              <w:rPr>
                <w:rFonts w:asciiTheme="minorEastAsia" w:hAnsiTheme="minorEastAsia" w:eastAsiaTheme="minorEastAsia"/>
                <w:b/>
                <w:sz w:val="24"/>
              </w:rPr>
            </w:pPr>
            <w:r>
              <w:rPr>
                <w:rFonts w:asciiTheme="minorEastAsia" w:hAnsiTheme="minorEastAsia" w:eastAsiaTheme="minorEastAsia"/>
                <w:b/>
                <w:sz w:val="24"/>
              </w:rPr>
              <w:t>/</w:t>
            </w:r>
          </w:p>
        </w:tc>
        <w:tc>
          <w:tcPr>
            <w:tcW w:w="518" w:type="pct"/>
            <w:vAlign w:val="center"/>
          </w:tcPr>
          <w:p>
            <w:pPr>
              <w:rPr>
                <w:rFonts w:asciiTheme="minorEastAsia" w:hAnsiTheme="minorEastAsia" w:eastAsiaTheme="minorEastAsia"/>
                <w:b/>
                <w:sz w:val="24"/>
              </w:rPr>
            </w:pPr>
          </w:p>
        </w:tc>
        <w:tc>
          <w:tcPr>
            <w:tcW w:w="582" w:type="pct"/>
            <w:vAlign w:val="center"/>
          </w:tcPr>
          <w:p>
            <w:pPr>
              <w:rPr>
                <w:rFonts w:asciiTheme="minorEastAsia" w:hAnsiTheme="minorEastAsia" w:eastAsiaTheme="minorEastAsia"/>
                <w:b/>
                <w:sz w:val="24"/>
              </w:rPr>
            </w:pPr>
          </w:p>
        </w:tc>
        <w:tc>
          <w:tcPr>
            <w:tcW w:w="486" w:type="pct"/>
            <w:vAlign w:val="center"/>
          </w:tcPr>
          <w:p>
            <w:pPr>
              <w:rPr>
                <w:rFonts w:asciiTheme="minorEastAsia" w:hAnsiTheme="minorEastAsia" w:eastAsiaTheme="minorEastAsia"/>
                <w:b/>
                <w:sz w:val="24"/>
              </w:rPr>
            </w:pPr>
          </w:p>
        </w:tc>
        <w:tc>
          <w:tcPr>
            <w:tcW w:w="486" w:type="pct"/>
            <w:vAlign w:val="center"/>
          </w:tcPr>
          <w:p>
            <w:pPr>
              <w:rPr>
                <w:rFonts w:asciiTheme="minorEastAsia" w:hAnsiTheme="minorEastAsia" w:eastAsiaTheme="minorEastAsia"/>
                <w:b/>
                <w:sz w:val="24"/>
              </w:rPr>
            </w:pPr>
          </w:p>
        </w:tc>
        <w:tc>
          <w:tcPr>
            <w:tcW w:w="607" w:type="pct"/>
            <w:vAlign w:val="center"/>
          </w:tcPr>
          <w:p>
            <w:pPr>
              <w:rPr>
                <w:rFonts w:asciiTheme="minorEastAsia" w:hAnsiTheme="minorEastAsia" w:eastAsiaTheme="minorEastAsia"/>
                <w:b/>
                <w:sz w:val="24"/>
              </w:rPr>
            </w:pPr>
          </w:p>
        </w:tc>
        <w:tc>
          <w:tcPr>
            <w:tcW w:w="597" w:type="pct"/>
            <w:vAlign w:val="center"/>
          </w:tcPr>
          <w:p>
            <w:pPr>
              <w:rPr>
                <w:rFonts w:asciiTheme="minorEastAsia" w:hAnsiTheme="minorEastAsia" w:eastAsiaTheme="minorEastAsia"/>
                <w:b/>
                <w:sz w:val="24"/>
              </w:rPr>
            </w:pPr>
            <w:r>
              <w:rPr>
                <w:rFonts w:asciiTheme="minorEastAsia" w:hAnsiTheme="minorEastAsia" w:eastAsiaTheme="minorEastAsia"/>
                <w:b/>
                <w:sz w:val="24"/>
              </w:rPr>
              <w:t>/</w:t>
            </w:r>
          </w:p>
        </w:tc>
        <w:tc>
          <w:tcPr>
            <w:tcW w:w="243" w:type="pct"/>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vAlign w:val="center"/>
          </w:tcPr>
          <w:p>
            <w:pPr>
              <w:jc w:val="left"/>
              <w:rPr>
                <w:rFonts w:asciiTheme="minorEastAsia" w:hAnsiTheme="minorEastAsia" w:eastAsiaTheme="minorEastAsia"/>
                <w:b/>
                <w:bCs/>
                <w:color w:val="000000"/>
                <w:sz w:val="24"/>
              </w:rPr>
            </w:pPr>
            <w:r>
              <w:rPr>
                <w:rFonts w:ascii="宋体" w:hAnsi="宋体" w:cs="宋体"/>
                <w:b/>
                <w:iCs/>
                <w:sz w:val="24"/>
              </w:rPr>
              <w:t>（二）</w:t>
            </w:r>
            <w:r>
              <w:rPr>
                <w:rFonts w:hint="eastAsia" w:ascii="宋体" w:hAnsi="宋体" w:cs="宋体"/>
                <w:b/>
                <w:iCs/>
                <w:sz w:val="24"/>
              </w:rPr>
              <w:t>汕头市档案馆侨批分馆（侨批文物馆）物业管理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9"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961" w:type="pct"/>
            <w:vAlign w:val="center"/>
          </w:tcPr>
          <w:p>
            <w:pPr>
              <w:jc w:val="center"/>
              <w:rPr>
                <w:rFonts w:asciiTheme="minorEastAsia" w:hAnsiTheme="minorEastAsia" w:eastAsiaTheme="minorEastAsia"/>
                <w:sz w:val="24"/>
              </w:rPr>
            </w:pPr>
            <w:r>
              <w:rPr>
                <w:rFonts w:hint="eastAsia" w:asciiTheme="minorEastAsia" w:hAnsiTheme="minorEastAsia" w:eastAsiaTheme="minorEastAsia"/>
                <w:color w:val="000000"/>
                <w:sz w:val="24"/>
              </w:rPr>
              <w:t>保安班长（项目负责人）</w:t>
            </w:r>
          </w:p>
        </w:tc>
        <w:tc>
          <w:tcPr>
            <w:tcW w:w="241" w:type="pct"/>
            <w:vAlign w:val="center"/>
          </w:tcPr>
          <w:p>
            <w:pPr>
              <w:jc w:val="center"/>
              <w:rPr>
                <w:rFonts w:asciiTheme="minorEastAsia" w:hAnsiTheme="minorEastAsia" w:eastAsiaTheme="minorEastAsia"/>
                <w:sz w:val="24"/>
              </w:rPr>
            </w:pPr>
            <w:r>
              <w:rPr>
                <w:rFonts w:asciiTheme="minorEastAsia" w:hAnsiTheme="minorEastAsia" w:eastAsiaTheme="minorEastAsia"/>
                <w:color w:val="000000"/>
                <w:sz w:val="24"/>
              </w:rPr>
              <w:t>1</w:t>
            </w:r>
          </w:p>
        </w:tc>
        <w:tc>
          <w:tcPr>
            <w:tcW w:w="518" w:type="pct"/>
            <w:vAlign w:val="center"/>
          </w:tcPr>
          <w:p>
            <w:pPr>
              <w:rPr>
                <w:rFonts w:asciiTheme="minorEastAsia" w:hAnsiTheme="minorEastAsia" w:eastAsiaTheme="minorEastAsia"/>
                <w:sz w:val="24"/>
              </w:rPr>
            </w:pPr>
          </w:p>
        </w:tc>
        <w:tc>
          <w:tcPr>
            <w:tcW w:w="582"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607" w:type="pct"/>
            <w:vAlign w:val="center"/>
          </w:tcPr>
          <w:p>
            <w:pPr>
              <w:rPr>
                <w:rFonts w:asciiTheme="minorEastAsia" w:hAnsiTheme="minorEastAsia" w:eastAsiaTheme="minorEastAsia"/>
                <w:sz w:val="24"/>
              </w:rPr>
            </w:pPr>
          </w:p>
        </w:tc>
        <w:tc>
          <w:tcPr>
            <w:tcW w:w="597" w:type="pct"/>
            <w:vAlign w:val="center"/>
          </w:tcPr>
          <w:p>
            <w:pPr>
              <w:rPr>
                <w:rFonts w:asciiTheme="minorEastAsia" w:hAnsiTheme="minorEastAsia" w:eastAsiaTheme="minorEastAsia"/>
                <w:sz w:val="24"/>
              </w:rPr>
            </w:pPr>
          </w:p>
        </w:tc>
        <w:tc>
          <w:tcPr>
            <w:tcW w:w="243" w:type="pct"/>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79"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961" w:type="pct"/>
            <w:vAlign w:val="center"/>
          </w:tcPr>
          <w:p>
            <w:pPr>
              <w:jc w:val="center"/>
              <w:rPr>
                <w:rFonts w:asciiTheme="minorEastAsia" w:hAnsiTheme="minorEastAsia" w:eastAsiaTheme="minorEastAsia"/>
                <w:sz w:val="24"/>
              </w:rPr>
            </w:pPr>
            <w:r>
              <w:rPr>
                <w:rFonts w:hint="eastAsia" w:ascii="宋体" w:hAnsi="宋体" w:cs="宋体"/>
                <w:iCs/>
                <w:sz w:val="24"/>
              </w:rPr>
              <w:t>维修人员</w:t>
            </w:r>
          </w:p>
        </w:tc>
        <w:tc>
          <w:tcPr>
            <w:tcW w:w="241" w:type="pct"/>
            <w:vAlign w:val="center"/>
          </w:tcPr>
          <w:p>
            <w:pPr>
              <w:jc w:val="center"/>
              <w:rPr>
                <w:rFonts w:asciiTheme="minorEastAsia" w:hAnsiTheme="minorEastAsia" w:eastAsiaTheme="minorEastAsia"/>
                <w:sz w:val="24"/>
              </w:rPr>
            </w:pPr>
            <w:r>
              <w:rPr>
                <w:rFonts w:asciiTheme="minorEastAsia" w:hAnsiTheme="minorEastAsia" w:eastAsiaTheme="minorEastAsia"/>
                <w:color w:val="000000"/>
                <w:sz w:val="24"/>
              </w:rPr>
              <w:t>1</w:t>
            </w:r>
          </w:p>
        </w:tc>
        <w:tc>
          <w:tcPr>
            <w:tcW w:w="518" w:type="pct"/>
            <w:vAlign w:val="center"/>
          </w:tcPr>
          <w:p>
            <w:pPr>
              <w:rPr>
                <w:rFonts w:asciiTheme="minorEastAsia" w:hAnsiTheme="minorEastAsia" w:eastAsiaTheme="minorEastAsia"/>
                <w:sz w:val="24"/>
              </w:rPr>
            </w:pPr>
          </w:p>
        </w:tc>
        <w:tc>
          <w:tcPr>
            <w:tcW w:w="582"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607" w:type="pct"/>
            <w:vAlign w:val="center"/>
          </w:tcPr>
          <w:p>
            <w:pPr>
              <w:rPr>
                <w:rFonts w:asciiTheme="minorEastAsia" w:hAnsiTheme="minorEastAsia" w:eastAsiaTheme="minorEastAsia"/>
                <w:sz w:val="24"/>
              </w:rPr>
            </w:pPr>
          </w:p>
        </w:tc>
        <w:tc>
          <w:tcPr>
            <w:tcW w:w="597" w:type="pct"/>
            <w:vAlign w:val="center"/>
          </w:tcPr>
          <w:p>
            <w:pPr>
              <w:rPr>
                <w:rFonts w:asciiTheme="minorEastAsia" w:hAnsiTheme="minorEastAsia" w:eastAsiaTheme="minorEastAsia"/>
                <w:sz w:val="24"/>
              </w:rPr>
            </w:pPr>
          </w:p>
        </w:tc>
        <w:tc>
          <w:tcPr>
            <w:tcW w:w="243" w:type="pct"/>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79"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961" w:type="pct"/>
            <w:vAlign w:val="center"/>
          </w:tcPr>
          <w:p>
            <w:pPr>
              <w:jc w:val="center"/>
              <w:rPr>
                <w:rFonts w:ascii="宋体" w:hAnsi="宋体" w:cs="宋体"/>
                <w:iCs/>
                <w:sz w:val="24"/>
              </w:rPr>
            </w:pPr>
            <w:r>
              <w:rPr>
                <w:rFonts w:hint="eastAsia" w:ascii="宋体" w:hAnsi="宋体" w:cs="宋体"/>
                <w:iCs/>
                <w:sz w:val="24"/>
              </w:rPr>
              <w:t>保安员</w:t>
            </w:r>
          </w:p>
        </w:tc>
        <w:tc>
          <w:tcPr>
            <w:tcW w:w="241" w:type="pct"/>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5</w:t>
            </w:r>
          </w:p>
        </w:tc>
        <w:tc>
          <w:tcPr>
            <w:tcW w:w="518" w:type="pct"/>
            <w:vAlign w:val="center"/>
          </w:tcPr>
          <w:p>
            <w:pPr>
              <w:rPr>
                <w:rFonts w:asciiTheme="minorEastAsia" w:hAnsiTheme="minorEastAsia" w:eastAsiaTheme="minorEastAsia"/>
                <w:sz w:val="24"/>
              </w:rPr>
            </w:pPr>
          </w:p>
        </w:tc>
        <w:tc>
          <w:tcPr>
            <w:tcW w:w="582"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607" w:type="pct"/>
            <w:vAlign w:val="center"/>
          </w:tcPr>
          <w:p>
            <w:pPr>
              <w:rPr>
                <w:rFonts w:asciiTheme="minorEastAsia" w:hAnsiTheme="minorEastAsia" w:eastAsiaTheme="minorEastAsia"/>
                <w:sz w:val="24"/>
              </w:rPr>
            </w:pPr>
          </w:p>
        </w:tc>
        <w:tc>
          <w:tcPr>
            <w:tcW w:w="597" w:type="pct"/>
            <w:vAlign w:val="center"/>
          </w:tcPr>
          <w:p>
            <w:pPr>
              <w:rPr>
                <w:rFonts w:asciiTheme="minorEastAsia" w:hAnsiTheme="minorEastAsia" w:eastAsiaTheme="minorEastAsia"/>
                <w:sz w:val="24"/>
              </w:rPr>
            </w:pPr>
          </w:p>
        </w:tc>
        <w:tc>
          <w:tcPr>
            <w:tcW w:w="243" w:type="pct"/>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79" w:type="pct"/>
            <w:vAlign w:val="center"/>
          </w:tcPr>
          <w:p>
            <w:pPr>
              <w:jc w:val="center"/>
              <w:rPr>
                <w:rFonts w:asciiTheme="minorEastAsia" w:hAnsiTheme="minorEastAsia" w:eastAsiaTheme="minorEastAsia"/>
                <w:sz w:val="24"/>
              </w:rPr>
            </w:pPr>
            <w:r>
              <w:rPr>
                <w:rFonts w:asciiTheme="minorEastAsia" w:hAnsiTheme="minorEastAsia" w:eastAsiaTheme="minorEastAsia"/>
                <w:sz w:val="24"/>
              </w:rPr>
              <w:t>4</w:t>
            </w:r>
          </w:p>
        </w:tc>
        <w:tc>
          <w:tcPr>
            <w:tcW w:w="961" w:type="pct"/>
            <w:vAlign w:val="center"/>
          </w:tcPr>
          <w:p>
            <w:pPr>
              <w:jc w:val="center"/>
              <w:rPr>
                <w:rFonts w:asciiTheme="minorEastAsia" w:hAnsiTheme="minorEastAsia" w:eastAsiaTheme="minorEastAsia"/>
                <w:sz w:val="24"/>
              </w:rPr>
            </w:pPr>
            <w:r>
              <w:rPr>
                <w:rFonts w:hint="eastAsia" w:asciiTheme="minorEastAsia" w:hAnsiTheme="minorEastAsia" w:eastAsiaTheme="minorEastAsia"/>
                <w:color w:val="000000"/>
                <w:sz w:val="24"/>
              </w:rPr>
              <w:t>保洁</w:t>
            </w:r>
          </w:p>
        </w:tc>
        <w:tc>
          <w:tcPr>
            <w:tcW w:w="241" w:type="pct"/>
            <w:vAlign w:val="center"/>
          </w:tcPr>
          <w:p>
            <w:pPr>
              <w:jc w:val="center"/>
              <w:rPr>
                <w:rFonts w:asciiTheme="minorEastAsia" w:hAnsiTheme="minorEastAsia" w:eastAsiaTheme="minorEastAsia"/>
                <w:sz w:val="24"/>
              </w:rPr>
            </w:pPr>
            <w:r>
              <w:rPr>
                <w:rFonts w:asciiTheme="minorEastAsia" w:hAnsiTheme="minorEastAsia" w:eastAsiaTheme="minorEastAsia"/>
                <w:color w:val="000000"/>
                <w:sz w:val="24"/>
              </w:rPr>
              <w:t>2</w:t>
            </w:r>
          </w:p>
        </w:tc>
        <w:tc>
          <w:tcPr>
            <w:tcW w:w="518" w:type="pct"/>
            <w:vAlign w:val="center"/>
          </w:tcPr>
          <w:p>
            <w:pPr>
              <w:rPr>
                <w:rFonts w:asciiTheme="minorEastAsia" w:hAnsiTheme="minorEastAsia" w:eastAsiaTheme="minorEastAsia"/>
                <w:sz w:val="24"/>
              </w:rPr>
            </w:pPr>
          </w:p>
        </w:tc>
        <w:tc>
          <w:tcPr>
            <w:tcW w:w="582"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486" w:type="pct"/>
            <w:vAlign w:val="center"/>
          </w:tcPr>
          <w:p>
            <w:pPr>
              <w:rPr>
                <w:rFonts w:asciiTheme="minorEastAsia" w:hAnsiTheme="minorEastAsia" w:eastAsiaTheme="minorEastAsia"/>
                <w:sz w:val="24"/>
              </w:rPr>
            </w:pPr>
          </w:p>
        </w:tc>
        <w:tc>
          <w:tcPr>
            <w:tcW w:w="607" w:type="pct"/>
            <w:vAlign w:val="center"/>
          </w:tcPr>
          <w:p>
            <w:pPr>
              <w:rPr>
                <w:rFonts w:asciiTheme="minorEastAsia" w:hAnsiTheme="minorEastAsia" w:eastAsiaTheme="minorEastAsia"/>
                <w:sz w:val="24"/>
              </w:rPr>
            </w:pPr>
          </w:p>
        </w:tc>
        <w:tc>
          <w:tcPr>
            <w:tcW w:w="597" w:type="pct"/>
            <w:vAlign w:val="center"/>
          </w:tcPr>
          <w:p>
            <w:pPr>
              <w:rPr>
                <w:rFonts w:asciiTheme="minorEastAsia" w:hAnsiTheme="minorEastAsia" w:eastAsiaTheme="minorEastAsia"/>
                <w:sz w:val="24"/>
              </w:rPr>
            </w:pPr>
          </w:p>
        </w:tc>
        <w:tc>
          <w:tcPr>
            <w:tcW w:w="243" w:type="pct"/>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240" w:type="pct"/>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月合计</w:t>
            </w:r>
          </w:p>
        </w:tc>
        <w:tc>
          <w:tcPr>
            <w:tcW w:w="241" w:type="pct"/>
            <w:vAlign w:val="center"/>
          </w:tcPr>
          <w:p>
            <w:pPr>
              <w:jc w:val="center"/>
              <w:rPr>
                <w:rFonts w:asciiTheme="minorEastAsia" w:hAnsiTheme="minorEastAsia" w:eastAsiaTheme="minorEastAsia"/>
                <w:b/>
                <w:sz w:val="24"/>
              </w:rPr>
            </w:pPr>
            <w:r>
              <w:rPr>
                <w:rFonts w:asciiTheme="minorEastAsia" w:hAnsiTheme="minorEastAsia" w:eastAsiaTheme="minorEastAsia"/>
                <w:b/>
                <w:sz w:val="24"/>
              </w:rPr>
              <w:t>9</w:t>
            </w:r>
          </w:p>
        </w:tc>
        <w:tc>
          <w:tcPr>
            <w:tcW w:w="518" w:type="pct"/>
            <w:vAlign w:val="center"/>
          </w:tcPr>
          <w:p>
            <w:pPr>
              <w:rPr>
                <w:rFonts w:asciiTheme="minorEastAsia" w:hAnsiTheme="minorEastAsia" w:eastAsiaTheme="minorEastAsia"/>
                <w:b/>
                <w:sz w:val="24"/>
              </w:rPr>
            </w:pPr>
          </w:p>
        </w:tc>
        <w:tc>
          <w:tcPr>
            <w:tcW w:w="582" w:type="pct"/>
            <w:vAlign w:val="center"/>
          </w:tcPr>
          <w:p>
            <w:pPr>
              <w:rPr>
                <w:rFonts w:asciiTheme="minorEastAsia" w:hAnsiTheme="minorEastAsia" w:eastAsiaTheme="minorEastAsia"/>
                <w:b/>
                <w:sz w:val="24"/>
              </w:rPr>
            </w:pPr>
          </w:p>
        </w:tc>
        <w:tc>
          <w:tcPr>
            <w:tcW w:w="486" w:type="pct"/>
            <w:vAlign w:val="center"/>
          </w:tcPr>
          <w:p>
            <w:pPr>
              <w:rPr>
                <w:rFonts w:asciiTheme="minorEastAsia" w:hAnsiTheme="minorEastAsia" w:eastAsiaTheme="minorEastAsia"/>
                <w:b/>
                <w:sz w:val="24"/>
              </w:rPr>
            </w:pPr>
          </w:p>
        </w:tc>
        <w:tc>
          <w:tcPr>
            <w:tcW w:w="486" w:type="pct"/>
            <w:vAlign w:val="center"/>
          </w:tcPr>
          <w:p>
            <w:pPr>
              <w:rPr>
                <w:rFonts w:asciiTheme="minorEastAsia" w:hAnsiTheme="minorEastAsia" w:eastAsiaTheme="minorEastAsia"/>
                <w:b/>
                <w:sz w:val="24"/>
              </w:rPr>
            </w:pPr>
          </w:p>
        </w:tc>
        <w:tc>
          <w:tcPr>
            <w:tcW w:w="607" w:type="pct"/>
            <w:vAlign w:val="center"/>
          </w:tcPr>
          <w:p>
            <w:pPr>
              <w:rPr>
                <w:rFonts w:asciiTheme="minorEastAsia" w:hAnsiTheme="minorEastAsia" w:eastAsiaTheme="minorEastAsia"/>
                <w:b/>
                <w:sz w:val="24"/>
              </w:rPr>
            </w:pPr>
          </w:p>
        </w:tc>
        <w:tc>
          <w:tcPr>
            <w:tcW w:w="597" w:type="pct"/>
            <w:vAlign w:val="center"/>
          </w:tcPr>
          <w:p>
            <w:pPr>
              <w:rPr>
                <w:rFonts w:asciiTheme="minorEastAsia" w:hAnsiTheme="minorEastAsia" w:eastAsiaTheme="minorEastAsia"/>
                <w:b/>
                <w:sz w:val="24"/>
              </w:rPr>
            </w:pPr>
          </w:p>
        </w:tc>
        <w:tc>
          <w:tcPr>
            <w:tcW w:w="243" w:type="pct"/>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40" w:type="pct"/>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年合计金额</w:t>
            </w:r>
          </w:p>
        </w:tc>
        <w:tc>
          <w:tcPr>
            <w:tcW w:w="241" w:type="pct"/>
            <w:vAlign w:val="center"/>
          </w:tcPr>
          <w:p>
            <w:pPr>
              <w:rPr>
                <w:rFonts w:asciiTheme="minorEastAsia" w:hAnsiTheme="minorEastAsia" w:eastAsiaTheme="minorEastAsia"/>
                <w:b/>
                <w:sz w:val="24"/>
              </w:rPr>
            </w:pPr>
            <w:r>
              <w:rPr>
                <w:rFonts w:asciiTheme="minorEastAsia" w:hAnsiTheme="minorEastAsia" w:eastAsiaTheme="minorEastAsia"/>
                <w:b/>
                <w:sz w:val="24"/>
              </w:rPr>
              <w:t>/</w:t>
            </w:r>
          </w:p>
        </w:tc>
        <w:tc>
          <w:tcPr>
            <w:tcW w:w="518" w:type="pct"/>
            <w:vAlign w:val="center"/>
          </w:tcPr>
          <w:p>
            <w:pPr>
              <w:rPr>
                <w:rFonts w:asciiTheme="minorEastAsia" w:hAnsiTheme="minorEastAsia" w:eastAsiaTheme="minorEastAsia"/>
                <w:b/>
                <w:sz w:val="24"/>
              </w:rPr>
            </w:pPr>
          </w:p>
        </w:tc>
        <w:tc>
          <w:tcPr>
            <w:tcW w:w="582" w:type="pct"/>
            <w:vAlign w:val="center"/>
          </w:tcPr>
          <w:p>
            <w:pPr>
              <w:rPr>
                <w:rFonts w:asciiTheme="minorEastAsia" w:hAnsiTheme="minorEastAsia" w:eastAsiaTheme="minorEastAsia"/>
                <w:b/>
                <w:sz w:val="24"/>
              </w:rPr>
            </w:pPr>
          </w:p>
        </w:tc>
        <w:tc>
          <w:tcPr>
            <w:tcW w:w="486" w:type="pct"/>
            <w:vAlign w:val="center"/>
          </w:tcPr>
          <w:p>
            <w:pPr>
              <w:rPr>
                <w:rFonts w:asciiTheme="minorEastAsia" w:hAnsiTheme="minorEastAsia" w:eastAsiaTheme="minorEastAsia"/>
                <w:b/>
                <w:sz w:val="24"/>
              </w:rPr>
            </w:pPr>
          </w:p>
        </w:tc>
        <w:tc>
          <w:tcPr>
            <w:tcW w:w="486" w:type="pct"/>
            <w:vAlign w:val="center"/>
          </w:tcPr>
          <w:p>
            <w:pPr>
              <w:rPr>
                <w:rFonts w:asciiTheme="minorEastAsia" w:hAnsiTheme="minorEastAsia" w:eastAsiaTheme="minorEastAsia"/>
                <w:b/>
                <w:sz w:val="24"/>
              </w:rPr>
            </w:pPr>
          </w:p>
        </w:tc>
        <w:tc>
          <w:tcPr>
            <w:tcW w:w="607" w:type="pct"/>
            <w:vAlign w:val="center"/>
          </w:tcPr>
          <w:p>
            <w:pPr>
              <w:rPr>
                <w:rFonts w:asciiTheme="minorEastAsia" w:hAnsiTheme="minorEastAsia" w:eastAsiaTheme="minorEastAsia"/>
                <w:b/>
                <w:sz w:val="24"/>
              </w:rPr>
            </w:pPr>
          </w:p>
        </w:tc>
        <w:tc>
          <w:tcPr>
            <w:tcW w:w="597" w:type="pct"/>
            <w:vAlign w:val="center"/>
          </w:tcPr>
          <w:p>
            <w:pPr>
              <w:rPr>
                <w:rFonts w:asciiTheme="minorEastAsia" w:hAnsiTheme="minorEastAsia" w:eastAsiaTheme="minorEastAsia"/>
                <w:b/>
                <w:sz w:val="24"/>
              </w:rPr>
            </w:pPr>
            <w:r>
              <w:rPr>
                <w:rFonts w:asciiTheme="minorEastAsia" w:hAnsiTheme="minorEastAsia" w:eastAsiaTheme="minorEastAsia"/>
                <w:b/>
                <w:sz w:val="24"/>
              </w:rPr>
              <w:t>/</w:t>
            </w:r>
          </w:p>
        </w:tc>
        <w:tc>
          <w:tcPr>
            <w:tcW w:w="243" w:type="pct"/>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000" w:type="pct"/>
            <w:gridSpan w:val="10"/>
            <w:vAlign w:val="center"/>
          </w:tcPr>
          <w:p>
            <w:pPr>
              <w:rPr>
                <w:rFonts w:asciiTheme="minorEastAsia" w:hAnsiTheme="minorEastAsia" w:eastAsiaTheme="minorEastAsia"/>
                <w:sz w:val="24"/>
              </w:rPr>
            </w:pPr>
            <w:r>
              <w:rPr>
                <w:rFonts w:hint="eastAsia" w:asciiTheme="minorEastAsia" w:hAnsiTheme="minorEastAsia" w:eastAsiaTheme="minorEastAsia"/>
                <w:sz w:val="24"/>
              </w:rPr>
              <w:t>补充说明：</w:t>
            </w:r>
          </w:p>
          <w:p>
            <w:pPr>
              <w:rPr>
                <w:rFonts w:asciiTheme="minorEastAsia" w:hAnsiTheme="minorEastAsia" w:eastAsiaTheme="minorEastAsia"/>
                <w:sz w:val="24"/>
              </w:rPr>
            </w:pPr>
            <w:r>
              <w:rPr>
                <w:rFonts w:hint="eastAsia" w:asciiTheme="minorEastAsia" w:hAnsiTheme="minorEastAsia" w:eastAsiaTheme="minorEastAsia"/>
                <w:sz w:val="24"/>
              </w:rPr>
              <w:t>1.人工成本包含：人员工资、社保、加班费、福利等人工费用；</w:t>
            </w:r>
          </w:p>
          <w:p>
            <w:pPr>
              <w:rPr>
                <w:rFonts w:asciiTheme="minorEastAsia" w:hAnsiTheme="minorEastAsia" w:eastAsiaTheme="minorEastAsia"/>
                <w:sz w:val="24"/>
              </w:rPr>
            </w:pPr>
            <w:r>
              <w:rPr>
                <w:rFonts w:hint="eastAsia" w:asciiTheme="minorEastAsia" w:hAnsiTheme="minorEastAsia" w:eastAsiaTheme="minorEastAsia"/>
                <w:sz w:val="24"/>
              </w:rPr>
              <w:t>2.其他费用：包含招标文件要求中标人承担的费用，如消耗品、特殊器械、工具、设备等。</w:t>
            </w:r>
          </w:p>
        </w:tc>
      </w:tr>
    </w:tbl>
    <w:p>
      <w:pPr>
        <w:spacing w:line="360" w:lineRule="auto"/>
        <w:rPr>
          <w:rFonts w:ascii="宋体" w:hAnsi="宋体" w:cs="宋体"/>
          <w:spacing w:val="4"/>
          <w:sz w:val="24"/>
        </w:rPr>
      </w:pPr>
      <w:r>
        <w:rPr>
          <w:rFonts w:hint="eastAsia" w:ascii="宋体" w:hAnsi="宋体" w:cs="宋体"/>
          <w:spacing w:val="4"/>
          <w:sz w:val="24"/>
        </w:rPr>
        <w:t>供应商名称(加盖公章)：</w:t>
      </w:r>
    </w:p>
    <w:p>
      <w:pPr>
        <w:spacing w:line="360" w:lineRule="auto"/>
        <w:rPr>
          <w:rFonts w:ascii="宋体" w:hAnsi="宋体" w:cs="宋体"/>
          <w:b/>
          <w:bCs/>
          <w:sz w:val="24"/>
        </w:rPr>
      </w:pPr>
      <w:r>
        <w:rPr>
          <w:rFonts w:hint="eastAsia" w:ascii="宋体" w:hAnsi="宋体" w:cs="宋体"/>
          <w:spacing w:val="4"/>
          <w:sz w:val="24"/>
        </w:rPr>
        <w:t>日期：   年  月  日</w:t>
      </w:r>
    </w:p>
    <w:p>
      <w:pPr>
        <w:tabs>
          <w:tab w:val="left" w:pos="360"/>
        </w:tabs>
        <w:snapToGrid w:val="0"/>
        <w:spacing w:line="360" w:lineRule="auto"/>
        <w:rPr>
          <w:rFonts w:ascii="宋体" w:hAnsi="宋体" w:cs="宋体"/>
          <w:b/>
          <w:sz w:val="32"/>
          <w:szCs w:val="32"/>
        </w:rPr>
      </w:pPr>
      <w:r>
        <w:rPr>
          <w:rFonts w:hint="eastAsia" w:ascii="宋体" w:hAnsi="宋体" w:cs="宋体"/>
          <w:b/>
          <w:spacing w:val="4"/>
          <w:sz w:val="24"/>
        </w:rPr>
        <w:t>说明：</w:t>
      </w:r>
      <w:r>
        <w:rPr>
          <w:rFonts w:hint="eastAsia" w:ascii="宋体" w:hAnsi="宋体" w:cs="宋体"/>
          <w:spacing w:val="4"/>
          <w:sz w:val="24"/>
        </w:rPr>
        <w:t>报价的小数点后</w:t>
      </w:r>
      <w:r>
        <w:rPr>
          <w:rFonts w:hint="eastAsia" w:ascii="宋体" w:hAnsi="宋体" w:cs="宋体"/>
          <w:b/>
          <w:spacing w:val="4"/>
          <w:sz w:val="24"/>
        </w:rPr>
        <w:t>保留2位有效数</w:t>
      </w:r>
      <w:r>
        <w:rPr>
          <w:rFonts w:hint="eastAsia" w:ascii="宋体" w:hAnsi="宋体" w:cs="宋体"/>
          <w:spacing w:val="4"/>
          <w:sz w:val="24"/>
        </w:rPr>
        <w:t>。</w:t>
      </w:r>
    </w:p>
    <w:bookmarkEnd w:id="17"/>
    <w:sectPr>
      <w:pgSz w:w="11906" w:h="16838"/>
      <w:pgMar w:top="1440" w:right="1440" w:bottom="1440" w:left="1440"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FreeSerif">
    <w:panose1 w:val="02020603050405020304"/>
    <w:charset w:val="00"/>
    <w:family w:val="auto"/>
    <w:pitch w:val="default"/>
    <w:sig w:usb0="E59FAFFF" w:usb1="C200FDFF" w:usb2="43501B29" w:usb3="04000043" w:csb0="600101FF" w:csb1="FFFF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Cambria">
    <w:altName w:val="FreeSerif"/>
    <w:panose1 w:val="02040503050406030204"/>
    <w:charset w:val="00"/>
    <w:family w:val="roman"/>
    <w:pitch w:val="default"/>
    <w:sig w:usb0="00000000" w:usb1="00000000" w:usb2="00000000" w:usb3="00000000" w:csb0="2000019F"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Bodoni MT Condensed">
    <w:altName w:val="DejaVu Math TeX Gyre"/>
    <w:panose1 w:val="00000000000000000000"/>
    <w:charset w:val="00"/>
    <w:family w:val="roman"/>
    <w:pitch w:val="default"/>
    <w:sig w:usb0="00000000" w:usb1="00000000" w:usb2="00000000" w:usb3="00000000" w:csb0="00000001"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pPr>
                          <w:r>
                            <w:rPr>
                              <w:rFonts w:hint="eastAsia"/>
                            </w:rPr>
                            <w:t xml:space="preserve">                 第</w:t>
                          </w:r>
                          <w:r>
                            <w:fldChar w:fldCharType="begin"/>
                          </w:r>
                          <w:r>
                            <w:rPr>
                              <w:rStyle w:val="42"/>
                            </w:rPr>
                            <w:instrText xml:space="preserve"> PAGE </w:instrText>
                          </w:r>
                          <w:r>
                            <w:fldChar w:fldCharType="separate"/>
                          </w:r>
                          <w:r>
                            <w:rPr>
                              <w:rStyle w:val="42"/>
                            </w:rPr>
                            <w:t>22</w:t>
                          </w:r>
                          <w:r>
                            <w:fldChar w:fldCharType="end"/>
                          </w:r>
                          <w:r>
                            <w:rPr>
                              <w:rStyle w:val="42"/>
                              <w:rFonts w:hint="eastAsia"/>
                            </w:rPr>
                            <w:t>页，共</w:t>
                          </w:r>
                          <w:r>
                            <w:fldChar w:fldCharType="begin"/>
                          </w:r>
                          <w:r>
                            <w:rPr>
                              <w:rStyle w:val="42"/>
                            </w:rPr>
                            <w:instrText xml:space="preserve"> NUMPAGES </w:instrText>
                          </w:r>
                          <w:r>
                            <w:fldChar w:fldCharType="separate"/>
                          </w:r>
                          <w:r>
                            <w:rPr>
                              <w:rStyle w:val="42"/>
                            </w:rPr>
                            <w:t>42</w:t>
                          </w:r>
                          <w:r>
                            <w:fldChar w:fldCharType="end"/>
                          </w:r>
                          <w:r>
                            <w:rPr>
                              <w:rStyle w:val="42"/>
                              <w:rFonts w:hint="eastAsia"/>
                            </w:rPr>
                            <w:t xml:space="preserve">页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SLb2J9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25"/>
                    </w:pPr>
                    <w:r>
                      <w:rPr>
                        <w:rFonts w:hint="eastAsia"/>
                      </w:rPr>
                      <w:t xml:space="preserve">                 第</w:t>
                    </w:r>
                    <w:r>
                      <w:fldChar w:fldCharType="begin"/>
                    </w:r>
                    <w:r>
                      <w:rPr>
                        <w:rStyle w:val="42"/>
                      </w:rPr>
                      <w:instrText xml:space="preserve"> PAGE </w:instrText>
                    </w:r>
                    <w:r>
                      <w:fldChar w:fldCharType="separate"/>
                    </w:r>
                    <w:r>
                      <w:rPr>
                        <w:rStyle w:val="42"/>
                      </w:rPr>
                      <w:t>22</w:t>
                    </w:r>
                    <w:r>
                      <w:fldChar w:fldCharType="end"/>
                    </w:r>
                    <w:r>
                      <w:rPr>
                        <w:rStyle w:val="42"/>
                        <w:rFonts w:hint="eastAsia"/>
                      </w:rPr>
                      <w:t>页，共</w:t>
                    </w:r>
                    <w:r>
                      <w:fldChar w:fldCharType="begin"/>
                    </w:r>
                    <w:r>
                      <w:rPr>
                        <w:rStyle w:val="42"/>
                      </w:rPr>
                      <w:instrText xml:space="preserve"> NUMPAGES </w:instrText>
                    </w:r>
                    <w:r>
                      <w:fldChar w:fldCharType="separate"/>
                    </w:r>
                    <w:r>
                      <w:rPr>
                        <w:rStyle w:val="42"/>
                      </w:rPr>
                      <w:t>42</w:t>
                    </w:r>
                    <w:r>
                      <w:fldChar w:fldCharType="end"/>
                    </w:r>
                    <w:r>
                      <w:rPr>
                        <w:rStyle w:val="42"/>
                        <w:rFonts w:hint="eastAsia"/>
                      </w:rPr>
                      <w:t xml:space="preserve">页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F60E5"/>
    <w:multiLevelType w:val="multilevel"/>
    <w:tmpl w:val="6E6F60E5"/>
    <w:lvl w:ilvl="0" w:tentative="0">
      <w:start w:val="1"/>
      <w:numFmt w:val="decimal"/>
      <w:lvlText w:val="%1"/>
      <w:lvlJc w:val="left"/>
      <w:pPr>
        <w:ind w:left="0" w:firstLine="0"/>
      </w:pPr>
      <w:rPr>
        <w:rFonts w:hint="eastAsia"/>
      </w:rPr>
    </w:lvl>
    <w:lvl w:ilvl="1" w:tentative="0">
      <w:start w:val="2"/>
      <w:numFmt w:val="decimal"/>
      <w:isLgl/>
      <w:lvlText w:val="%1.%2"/>
      <w:lvlJc w:val="left"/>
      <w:pPr>
        <w:ind w:left="0" w:firstLine="0"/>
      </w:pPr>
      <w:rPr>
        <w:rFonts w:hint="eastAsia"/>
      </w:rPr>
    </w:lvl>
    <w:lvl w:ilvl="2" w:tentative="0">
      <w:start w:val="2"/>
      <w:numFmt w:val="decimal"/>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0"/>
      <w:numFmt w:val="decimal"/>
      <w:isLgl/>
      <w:lvlText w:val="%1.%2.%3.%4.%5"/>
      <w:lvlJc w:val="left"/>
      <w:pPr>
        <w:ind w:left="0" w:firstLine="0"/>
      </w:pPr>
      <w:rPr>
        <w:rFonts w:hint="eastAsia" w:eastAsia="宋体"/>
        <w:b/>
        <w:i w:val="0"/>
        <w:sz w:val="24"/>
      </w:rPr>
    </w:lvl>
    <w:lvl w:ilvl="5" w:tentative="0">
      <w:start w:val="1"/>
      <w:numFmt w:val="decimal"/>
      <w:isLgl/>
      <w:lvlText w:val="%1.%2.%3.%4.%5.%6"/>
      <w:lvlJc w:val="left"/>
      <w:pPr>
        <w:ind w:left="0" w:firstLine="0"/>
      </w:pPr>
      <w:rPr>
        <w:rFonts w:hint="eastAsia" w:ascii="宋体" w:eastAsia="宋体"/>
        <w:b/>
        <w:i w:val="0"/>
        <w:sz w:val="24"/>
      </w:rPr>
    </w:lvl>
    <w:lvl w:ilvl="6" w:tentative="0">
      <w:start w:val="0"/>
      <w:numFmt w:val="decimal"/>
      <w:lvlText w:val=""/>
      <w:lvlJc w:val="left"/>
      <w:pPr>
        <w:ind w:left="0" w:firstLine="0"/>
      </w:pPr>
      <w:rPr>
        <w:rFonts w:hint="eastAsia"/>
      </w:rPr>
    </w:lvl>
    <w:lvl w:ilvl="7" w:tentative="0">
      <w:start w:val="0"/>
      <w:numFmt w:val="decimal"/>
      <w:pStyle w:val="119"/>
      <w:lvlText w:val=""/>
      <w:lvlJc w:val="left"/>
      <w:pPr>
        <w:ind w:left="0" w:firstLine="0"/>
      </w:pPr>
      <w:rPr>
        <w:rFonts w:hint="eastAsia"/>
      </w:rPr>
    </w:lvl>
    <w:lvl w:ilvl="8" w:tentative="0">
      <w:start w:val="0"/>
      <w:numFmt w:val="decimal"/>
      <w:pStyle w:val="120"/>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lYWNlZjc5MmMwZWY2NTA4M2YyZDgxZjIwMjA0ZGYifQ=="/>
  </w:docVars>
  <w:rsids>
    <w:rsidRoot w:val="00C676C5"/>
    <w:rsid w:val="00044F47"/>
    <w:rsid w:val="00050AD7"/>
    <w:rsid w:val="00074DE3"/>
    <w:rsid w:val="00096141"/>
    <w:rsid w:val="000C5FC5"/>
    <w:rsid w:val="000D0B2F"/>
    <w:rsid w:val="000E776E"/>
    <w:rsid w:val="000F1574"/>
    <w:rsid w:val="000F674D"/>
    <w:rsid w:val="00107B36"/>
    <w:rsid w:val="00115F7E"/>
    <w:rsid w:val="001276BE"/>
    <w:rsid w:val="001431AB"/>
    <w:rsid w:val="0015509A"/>
    <w:rsid w:val="00161263"/>
    <w:rsid w:val="00161D8A"/>
    <w:rsid w:val="0016522D"/>
    <w:rsid w:val="00173035"/>
    <w:rsid w:val="00174357"/>
    <w:rsid w:val="00176410"/>
    <w:rsid w:val="0018509D"/>
    <w:rsid w:val="00192CB4"/>
    <w:rsid w:val="001D211D"/>
    <w:rsid w:val="001D6691"/>
    <w:rsid w:val="001E2851"/>
    <w:rsid w:val="001E78B0"/>
    <w:rsid w:val="001F2ADA"/>
    <w:rsid w:val="001F2B7C"/>
    <w:rsid w:val="0020477D"/>
    <w:rsid w:val="00210E0A"/>
    <w:rsid w:val="00214AF3"/>
    <w:rsid w:val="002167C6"/>
    <w:rsid w:val="00226A21"/>
    <w:rsid w:val="00286318"/>
    <w:rsid w:val="00287CC3"/>
    <w:rsid w:val="00291A87"/>
    <w:rsid w:val="002A599B"/>
    <w:rsid w:val="002F7CB6"/>
    <w:rsid w:val="003051F2"/>
    <w:rsid w:val="00306A20"/>
    <w:rsid w:val="003075C5"/>
    <w:rsid w:val="00327931"/>
    <w:rsid w:val="003351B4"/>
    <w:rsid w:val="003454DB"/>
    <w:rsid w:val="003675E0"/>
    <w:rsid w:val="003846CA"/>
    <w:rsid w:val="00386766"/>
    <w:rsid w:val="00394DCA"/>
    <w:rsid w:val="0039521E"/>
    <w:rsid w:val="00397A3C"/>
    <w:rsid w:val="003A0A23"/>
    <w:rsid w:val="003B3F7D"/>
    <w:rsid w:val="003C7925"/>
    <w:rsid w:val="003D2444"/>
    <w:rsid w:val="003F37B3"/>
    <w:rsid w:val="00414ACC"/>
    <w:rsid w:val="00446A9D"/>
    <w:rsid w:val="004477D3"/>
    <w:rsid w:val="00492CAF"/>
    <w:rsid w:val="004A1E85"/>
    <w:rsid w:val="004B41F2"/>
    <w:rsid w:val="004B4761"/>
    <w:rsid w:val="004D0538"/>
    <w:rsid w:val="004E0286"/>
    <w:rsid w:val="004E4E35"/>
    <w:rsid w:val="004F084D"/>
    <w:rsid w:val="005002EB"/>
    <w:rsid w:val="0051537A"/>
    <w:rsid w:val="005309E7"/>
    <w:rsid w:val="00536585"/>
    <w:rsid w:val="005679F7"/>
    <w:rsid w:val="0057067B"/>
    <w:rsid w:val="005770AF"/>
    <w:rsid w:val="00580B4B"/>
    <w:rsid w:val="00583A9A"/>
    <w:rsid w:val="005A3794"/>
    <w:rsid w:val="005B415A"/>
    <w:rsid w:val="005C4179"/>
    <w:rsid w:val="005C787D"/>
    <w:rsid w:val="005D729A"/>
    <w:rsid w:val="005F1471"/>
    <w:rsid w:val="005F1FF5"/>
    <w:rsid w:val="0061428E"/>
    <w:rsid w:val="006155FE"/>
    <w:rsid w:val="006406E8"/>
    <w:rsid w:val="00641B49"/>
    <w:rsid w:val="0066281A"/>
    <w:rsid w:val="00667F20"/>
    <w:rsid w:val="00690813"/>
    <w:rsid w:val="006B410A"/>
    <w:rsid w:val="006D6BBE"/>
    <w:rsid w:val="006E784A"/>
    <w:rsid w:val="006F7FD1"/>
    <w:rsid w:val="0070150E"/>
    <w:rsid w:val="0070622C"/>
    <w:rsid w:val="00706E84"/>
    <w:rsid w:val="00722945"/>
    <w:rsid w:val="00727B92"/>
    <w:rsid w:val="007402D9"/>
    <w:rsid w:val="007403AF"/>
    <w:rsid w:val="0074202B"/>
    <w:rsid w:val="00767948"/>
    <w:rsid w:val="007B45CE"/>
    <w:rsid w:val="007E1C1F"/>
    <w:rsid w:val="007E4812"/>
    <w:rsid w:val="007E6F14"/>
    <w:rsid w:val="007F2A95"/>
    <w:rsid w:val="00802A3B"/>
    <w:rsid w:val="0080578A"/>
    <w:rsid w:val="0081267C"/>
    <w:rsid w:val="00815676"/>
    <w:rsid w:val="00827070"/>
    <w:rsid w:val="008305F8"/>
    <w:rsid w:val="008319D8"/>
    <w:rsid w:val="00832327"/>
    <w:rsid w:val="00845F41"/>
    <w:rsid w:val="00847E0C"/>
    <w:rsid w:val="0086511B"/>
    <w:rsid w:val="0088100A"/>
    <w:rsid w:val="00895B7E"/>
    <w:rsid w:val="00896EB9"/>
    <w:rsid w:val="00897A2F"/>
    <w:rsid w:val="008B5F98"/>
    <w:rsid w:val="008C6938"/>
    <w:rsid w:val="008D4022"/>
    <w:rsid w:val="008D58AA"/>
    <w:rsid w:val="008D74FE"/>
    <w:rsid w:val="008E4557"/>
    <w:rsid w:val="008F3A93"/>
    <w:rsid w:val="00901480"/>
    <w:rsid w:val="00910158"/>
    <w:rsid w:val="00910532"/>
    <w:rsid w:val="00916C30"/>
    <w:rsid w:val="009177A5"/>
    <w:rsid w:val="00920FE3"/>
    <w:rsid w:val="00921EA4"/>
    <w:rsid w:val="00951059"/>
    <w:rsid w:val="00952140"/>
    <w:rsid w:val="00961D29"/>
    <w:rsid w:val="009A0F3C"/>
    <w:rsid w:val="009A421E"/>
    <w:rsid w:val="009A4AD8"/>
    <w:rsid w:val="009A51CC"/>
    <w:rsid w:val="009C248F"/>
    <w:rsid w:val="009C24BB"/>
    <w:rsid w:val="009D28D7"/>
    <w:rsid w:val="009E5481"/>
    <w:rsid w:val="00A17B59"/>
    <w:rsid w:val="00A34AA0"/>
    <w:rsid w:val="00A531B8"/>
    <w:rsid w:val="00A5699C"/>
    <w:rsid w:val="00A72DB5"/>
    <w:rsid w:val="00A8245A"/>
    <w:rsid w:val="00A96957"/>
    <w:rsid w:val="00AA639B"/>
    <w:rsid w:val="00AC0814"/>
    <w:rsid w:val="00AC207A"/>
    <w:rsid w:val="00AC2E1A"/>
    <w:rsid w:val="00AC582A"/>
    <w:rsid w:val="00AD4061"/>
    <w:rsid w:val="00AE31E5"/>
    <w:rsid w:val="00B009B4"/>
    <w:rsid w:val="00B15A8D"/>
    <w:rsid w:val="00B25946"/>
    <w:rsid w:val="00B25C96"/>
    <w:rsid w:val="00B316D2"/>
    <w:rsid w:val="00B36CF6"/>
    <w:rsid w:val="00B40598"/>
    <w:rsid w:val="00B45373"/>
    <w:rsid w:val="00B51557"/>
    <w:rsid w:val="00B62CD1"/>
    <w:rsid w:val="00B71827"/>
    <w:rsid w:val="00B80D7B"/>
    <w:rsid w:val="00B8611F"/>
    <w:rsid w:val="00B8635F"/>
    <w:rsid w:val="00B94155"/>
    <w:rsid w:val="00B96875"/>
    <w:rsid w:val="00BD5E80"/>
    <w:rsid w:val="00BE0ED0"/>
    <w:rsid w:val="00BF4F6B"/>
    <w:rsid w:val="00BF7305"/>
    <w:rsid w:val="00C02044"/>
    <w:rsid w:val="00C02FB6"/>
    <w:rsid w:val="00C06979"/>
    <w:rsid w:val="00C137C0"/>
    <w:rsid w:val="00C44825"/>
    <w:rsid w:val="00C54900"/>
    <w:rsid w:val="00C62136"/>
    <w:rsid w:val="00C676C5"/>
    <w:rsid w:val="00C75BCD"/>
    <w:rsid w:val="00C95915"/>
    <w:rsid w:val="00CA7483"/>
    <w:rsid w:val="00CC2C3B"/>
    <w:rsid w:val="00CD0BDB"/>
    <w:rsid w:val="00CD10C3"/>
    <w:rsid w:val="00CD7516"/>
    <w:rsid w:val="00CF53D8"/>
    <w:rsid w:val="00D2370D"/>
    <w:rsid w:val="00D42373"/>
    <w:rsid w:val="00D437E0"/>
    <w:rsid w:val="00D57B1C"/>
    <w:rsid w:val="00D63217"/>
    <w:rsid w:val="00D71DE6"/>
    <w:rsid w:val="00D76564"/>
    <w:rsid w:val="00D86771"/>
    <w:rsid w:val="00DB72A1"/>
    <w:rsid w:val="00DE22EE"/>
    <w:rsid w:val="00DF4C28"/>
    <w:rsid w:val="00DF7E17"/>
    <w:rsid w:val="00E05D19"/>
    <w:rsid w:val="00E12973"/>
    <w:rsid w:val="00E24293"/>
    <w:rsid w:val="00E625BA"/>
    <w:rsid w:val="00E72740"/>
    <w:rsid w:val="00E74DB9"/>
    <w:rsid w:val="00E81C0C"/>
    <w:rsid w:val="00E919F8"/>
    <w:rsid w:val="00E93739"/>
    <w:rsid w:val="00E95E3A"/>
    <w:rsid w:val="00E96D90"/>
    <w:rsid w:val="00EB280B"/>
    <w:rsid w:val="00EB76DB"/>
    <w:rsid w:val="00EC020C"/>
    <w:rsid w:val="00ED5376"/>
    <w:rsid w:val="00ED65FB"/>
    <w:rsid w:val="00EF0BA3"/>
    <w:rsid w:val="00F0256F"/>
    <w:rsid w:val="00F1275F"/>
    <w:rsid w:val="00F14BFD"/>
    <w:rsid w:val="00F26A1B"/>
    <w:rsid w:val="00F33949"/>
    <w:rsid w:val="00F361F8"/>
    <w:rsid w:val="00F40B42"/>
    <w:rsid w:val="00F66D27"/>
    <w:rsid w:val="00F7463B"/>
    <w:rsid w:val="00F807DB"/>
    <w:rsid w:val="00F87045"/>
    <w:rsid w:val="00F87B29"/>
    <w:rsid w:val="00FB1055"/>
    <w:rsid w:val="00FB1E13"/>
    <w:rsid w:val="00FB4943"/>
    <w:rsid w:val="00FB7585"/>
    <w:rsid w:val="00FB7867"/>
    <w:rsid w:val="00FF2681"/>
    <w:rsid w:val="04E30290"/>
    <w:rsid w:val="085611CF"/>
    <w:rsid w:val="0A6415FE"/>
    <w:rsid w:val="0D1974FF"/>
    <w:rsid w:val="0E7F6019"/>
    <w:rsid w:val="0F1C5B1D"/>
    <w:rsid w:val="0FDB5AFE"/>
    <w:rsid w:val="15436421"/>
    <w:rsid w:val="1F6C228A"/>
    <w:rsid w:val="28226861"/>
    <w:rsid w:val="28BA221B"/>
    <w:rsid w:val="2B0C4B39"/>
    <w:rsid w:val="2B464857"/>
    <w:rsid w:val="2D6602A4"/>
    <w:rsid w:val="2D821EB8"/>
    <w:rsid w:val="322748ED"/>
    <w:rsid w:val="337C33E4"/>
    <w:rsid w:val="353348C1"/>
    <w:rsid w:val="3BB5E2D4"/>
    <w:rsid w:val="415D5436"/>
    <w:rsid w:val="45347B8D"/>
    <w:rsid w:val="45824913"/>
    <w:rsid w:val="45D60283"/>
    <w:rsid w:val="499309F5"/>
    <w:rsid w:val="4A5E6B8B"/>
    <w:rsid w:val="4B891C49"/>
    <w:rsid w:val="4BF7266F"/>
    <w:rsid w:val="4C276D72"/>
    <w:rsid w:val="4C646659"/>
    <w:rsid w:val="4C652480"/>
    <w:rsid w:val="4EB76FD5"/>
    <w:rsid w:val="4F583A6A"/>
    <w:rsid w:val="51EB0BDF"/>
    <w:rsid w:val="53575DC6"/>
    <w:rsid w:val="5453473D"/>
    <w:rsid w:val="546B3600"/>
    <w:rsid w:val="551C3A9F"/>
    <w:rsid w:val="587531C5"/>
    <w:rsid w:val="5D6D3779"/>
    <w:rsid w:val="64E86EEF"/>
    <w:rsid w:val="67310E46"/>
    <w:rsid w:val="704D17BC"/>
    <w:rsid w:val="70E066AA"/>
    <w:rsid w:val="71F63C78"/>
    <w:rsid w:val="72956225"/>
    <w:rsid w:val="73D36203"/>
    <w:rsid w:val="73FA2D8B"/>
    <w:rsid w:val="75FE74B0"/>
    <w:rsid w:val="764C7A4B"/>
    <w:rsid w:val="7A3170DD"/>
    <w:rsid w:val="7EC112E5"/>
    <w:rsid w:val="F2EFE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2">
    <w:name w:val="heading 1"/>
    <w:basedOn w:val="1"/>
    <w:next w:val="1"/>
    <w:link w:val="47"/>
    <w:qFormat/>
    <w:uiPriority w:val="0"/>
    <w:pPr>
      <w:keepNext/>
      <w:widowControl/>
      <w:jc w:val="left"/>
      <w:outlineLvl w:val="0"/>
    </w:pPr>
    <w:rPr>
      <w:b/>
      <w:bCs/>
      <w:sz w:val="2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outlineLvl w:val="2"/>
    </w:pPr>
    <w:rPr>
      <w:rFonts w:ascii="楷体_GB2312" w:hAnsi="宋体" w:eastAsia="楷体_GB2312"/>
      <w:b/>
      <w:bCs/>
      <w:sz w:val="32"/>
    </w:rPr>
  </w:style>
  <w:style w:type="paragraph" w:styleId="5">
    <w:name w:val="heading 4"/>
    <w:basedOn w:val="1"/>
    <w:next w:val="1"/>
    <w:link w:val="50"/>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6">
    <w:name w:val="heading 5"/>
    <w:basedOn w:val="1"/>
    <w:next w:val="1"/>
    <w:link w:val="51"/>
    <w:qFormat/>
    <w:uiPriority w:val="0"/>
    <w:pPr>
      <w:keepNext/>
      <w:keepLines/>
      <w:widowControl/>
      <w:spacing w:before="280" w:after="290" w:line="376" w:lineRule="auto"/>
      <w:jc w:val="left"/>
      <w:outlineLvl w:val="4"/>
    </w:pPr>
    <w:rPr>
      <w:b/>
      <w:bCs/>
      <w:sz w:val="28"/>
      <w:szCs w:val="28"/>
    </w:rPr>
  </w:style>
  <w:style w:type="paragraph" w:styleId="7">
    <w:name w:val="heading 6"/>
    <w:basedOn w:val="1"/>
    <w:next w:val="1"/>
    <w:link w:val="52"/>
    <w:qFormat/>
    <w:uiPriority w:val="0"/>
    <w:pPr>
      <w:keepNext/>
      <w:keepLines/>
      <w:widowControl/>
      <w:spacing w:before="240" w:after="64" w:line="320" w:lineRule="auto"/>
      <w:jc w:val="left"/>
      <w:outlineLvl w:val="5"/>
    </w:pPr>
    <w:rPr>
      <w:rFonts w:ascii="Arial" w:hAnsi="Arial" w:eastAsia="黑体"/>
      <w:b/>
      <w:bCs/>
      <w:sz w:val="24"/>
    </w:rPr>
  </w:style>
  <w:style w:type="paragraph" w:styleId="8">
    <w:name w:val="heading 7"/>
    <w:basedOn w:val="1"/>
    <w:next w:val="1"/>
    <w:link w:val="53"/>
    <w:qFormat/>
    <w:uiPriority w:val="0"/>
    <w:pPr>
      <w:keepNext/>
      <w:keepLines/>
      <w:widowControl/>
      <w:spacing w:before="240" w:after="64" w:line="320" w:lineRule="auto"/>
      <w:jc w:val="left"/>
      <w:outlineLvl w:val="6"/>
    </w:pPr>
    <w:rPr>
      <w:b/>
      <w:bCs/>
      <w:sz w:val="24"/>
    </w:rPr>
  </w:style>
  <w:style w:type="paragraph" w:styleId="9">
    <w:name w:val="heading 8"/>
    <w:basedOn w:val="1"/>
    <w:next w:val="1"/>
    <w:link w:val="54"/>
    <w:qFormat/>
    <w:uiPriority w:val="0"/>
    <w:pPr>
      <w:keepNext/>
      <w:keepLines/>
      <w:widowControl/>
      <w:spacing w:before="240" w:after="64" w:line="320" w:lineRule="auto"/>
      <w:jc w:val="left"/>
      <w:outlineLvl w:val="7"/>
    </w:pPr>
    <w:rPr>
      <w:rFonts w:ascii="Arial" w:hAnsi="Arial" w:eastAsia="黑体"/>
      <w:sz w:val="24"/>
    </w:rPr>
  </w:style>
  <w:style w:type="paragraph" w:styleId="10">
    <w:name w:val="heading 9"/>
    <w:basedOn w:val="1"/>
    <w:next w:val="1"/>
    <w:link w:val="55"/>
    <w:qFormat/>
    <w:uiPriority w:val="0"/>
    <w:pPr>
      <w:keepNext/>
      <w:keepLines/>
      <w:widowControl/>
      <w:spacing w:before="240" w:after="64" w:line="320" w:lineRule="auto"/>
      <w:jc w:val="left"/>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cs="Calibri"/>
      <w:sz w:val="18"/>
      <w:szCs w:val="18"/>
    </w:rPr>
  </w:style>
  <w:style w:type="paragraph" w:styleId="12">
    <w:name w:val="Normal Indent"/>
    <w:basedOn w:val="1"/>
    <w:link w:val="89"/>
    <w:qFormat/>
    <w:uiPriority w:val="0"/>
    <w:pPr>
      <w:ind w:firstLine="420" w:firstLineChars="200"/>
    </w:pPr>
    <w:rPr>
      <w:szCs w:val="21"/>
    </w:rPr>
  </w:style>
  <w:style w:type="paragraph" w:styleId="13">
    <w:name w:val="Document Map"/>
    <w:basedOn w:val="1"/>
    <w:link w:val="90"/>
    <w:qFormat/>
    <w:uiPriority w:val="0"/>
    <w:pPr>
      <w:shd w:val="clear" w:color="auto" w:fill="000080"/>
    </w:pPr>
    <w:rPr>
      <w:szCs w:val="20"/>
    </w:rPr>
  </w:style>
  <w:style w:type="paragraph" w:styleId="14">
    <w:name w:val="annotation text"/>
    <w:basedOn w:val="1"/>
    <w:link w:val="63"/>
    <w:qFormat/>
    <w:uiPriority w:val="99"/>
    <w:pPr>
      <w:jc w:val="left"/>
    </w:pPr>
    <w:rPr>
      <w:rFonts w:asciiTheme="minorHAnsi" w:hAnsiTheme="minorHAnsi" w:eastAsiaTheme="minorEastAsia" w:cstheme="minorBidi"/>
      <w:kern w:val="2"/>
      <w:sz w:val="21"/>
    </w:rPr>
  </w:style>
  <w:style w:type="paragraph" w:styleId="15">
    <w:name w:val="Body Text 3"/>
    <w:basedOn w:val="1"/>
    <w:link w:val="81"/>
    <w:qFormat/>
    <w:uiPriority w:val="0"/>
    <w:pPr>
      <w:spacing w:after="120"/>
    </w:pPr>
    <w:rPr>
      <w:sz w:val="16"/>
      <w:szCs w:val="16"/>
    </w:rPr>
  </w:style>
  <w:style w:type="paragraph" w:styleId="16">
    <w:name w:val="Body Text"/>
    <w:basedOn w:val="1"/>
    <w:link w:val="67"/>
    <w:qFormat/>
    <w:uiPriority w:val="0"/>
    <w:pPr>
      <w:spacing w:after="120"/>
    </w:pPr>
  </w:style>
  <w:style w:type="paragraph" w:styleId="17">
    <w:name w:val="Body Text Indent"/>
    <w:basedOn w:val="1"/>
    <w:link w:val="77"/>
    <w:qFormat/>
    <w:uiPriority w:val="0"/>
    <w:pPr>
      <w:spacing w:line="560" w:lineRule="exact"/>
      <w:ind w:left="300"/>
    </w:pPr>
    <w:rPr>
      <w:sz w:val="24"/>
    </w:rPr>
  </w:style>
  <w:style w:type="paragraph" w:styleId="18">
    <w:name w:val="toc 5"/>
    <w:basedOn w:val="1"/>
    <w:next w:val="1"/>
    <w:qFormat/>
    <w:uiPriority w:val="39"/>
    <w:pPr>
      <w:ind w:left="840"/>
      <w:jc w:val="left"/>
    </w:pPr>
    <w:rPr>
      <w:rFonts w:ascii="Calibri" w:hAnsi="Calibri" w:cs="Calibri"/>
      <w:sz w:val="18"/>
      <w:szCs w:val="18"/>
    </w:rPr>
  </w:style>
  <w:style w:type="paragraph" w:styleId="19">
    <w:name w:val="toc 3"/>
    <w:basedOn w:val="1"/>
    <w:next w:val="1"/>
    <w:qFormat/>
    <w:uiPriority w:val="39"/>
    <w:pPr>
      <w:spacing w:before="120" w:after="120"/>
      <w:ind w:left="420"/>
      <w:jc w:val="left"/>
    </w:pPr>
    <w:rPr>
      <w:rFonts w:ascii="Calibri" w:hAnsi="Calibri" w:cs="Calibri"/>
      <w:iCs/>
      <w:szCs w:val="20"/>
    </w:rPr>
  </w:style>
  <w:style w:type="paragraph" w:styleId="20">
    <w:name w:val="Plain Text"/>
    <w:basedOn w:val="1"/>
    <w:link w:val="62"/>
    <w:qFormat/>
    <w:uiPriority w:val="0"/>
    <w:rPr>
      <w:rFonts w:ascii="宋体" w:hAnsi="Courier New" w:cs="Courier New" w:eastAsiaTheme="minorEastAsia"/>
      <w:kern w:val="2"/>
      <w:sz w:val="21"/>
      <w:szCs w:val="21"/>
    </w:rPr>
  </w:style>
  <w:style w:type="paragraph" w:styleId="21">
    <w:name w:val="toc 8"/>
    <w:basedOn w:val="1"/>
    <w:next w:val="1"/>
    <w:qFormat/>
    <w:uiPriority w:val="39"/>
    <w:pPr>
      <w:ind w:left="1470"/>
      <w:jc w:val="left"/>
    </w:pPr>
    <w:rPr>
      <w:rFonts w:ascii="Calibri" w:hAnsi="Calibri" w:cs="Calibri"/>
      <w:sz w:val="18"/>
      <w:szCs w:val="18"/>
    </w:rPr>
  </w:style>
  <w:style w:type="paragraph" w:styleId="22">
    <w:name w:val="Date"/>
    <w:basedOn w:val="1"/>
    <w:next w:val="1"/>
    <w:link w:val="95"/>
    <w:qFormat/>
    <w:uiPriority w:val="0"/>
    <w:pPr>
      <w:widowControl/>
    </w:pPr>
    <w:rPr>
      <w:rFonts w:ascii="宋体"/>
      <w:szCs w:val="20"/>
    </w:rPr>
  </w:style>
  <w:style w:type="paragraph" w:styleId="23">
    <w:name w:val="Body Text Indent 2"/>
    <w:basedOn w:val="1"/>
    <w:link w:val="93"/>
    <w:qFormat/>
    <w:uiPriority w:val="0"/>
    <w:pPr>
      <w:spacing w:line="540" w:lineRule="exact"/>
      <w:ind w:left="462" w:leftChars="220"/>
    </w:pPr>
    <w:rPr>
      <w:sz w:val="24"/>
    </w:rPr>
  </w:style>
  <w:style w:type="paragraph" w:styleId="24">
    <w:name w:val="Balloon Text"/>
    <w:basedOn w:val="1"/>
    <w:link w:val="60"/>
    <w:qFormat/>
    <w:uiPriority w:val="0"/>
    <w:rPr>
      <w:rFonts w:asciiTheme="minorHAnsi" w:hAnsiTheme="minorHAnsi" w:cstheme="minorBidi"/>
      <w:kern w:val="2"/>
      <w:sz w:val="18"/>
      <w:szCs w:val="22"/>
    </w:rPr>
  </w:style>
  <w:style w:type="paragraph" w:styleId="25">
    <w:name w:val="footer"/>
    <w:basedOn w:val="1"/>
    <w:link w:val="57"/>
    <w:unhideWhenUsed/>
    <w:qFormat/>
    <w:uiPriority w:val="0"/>
    <w:pPr>
      <w:tabs>
        <w:tab w:val="center" w:pos="4153"/>
        <w:tab w:val="right" w:pos="8306"/>
      </w:tabs>
      <w:snapToGrid w:val="0"/>
      <w:jc w:val="left"/>
    </w:pPr>
    <w:rPr>
      <w:sz w:val="18"/>
      <w:szCs w:val="18"/>
    </w:rPr>
  </w:style>
  <w:style w:type="paragraph" w:styleId="26">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rFonts w:ascii="Calibri" w:hAnsi="Calibri" w:cs="Calibri"/>
      <w:b/>
      <w:bCs/>
      <w:caps/>
      <w:szCs w:val="20"/>
    </w:rPr>
  </w:style>
  <w:style w:type="paragraph" w:styleId="28">
    <w:name w:val="toc 4"/>
    <w:basedOn w:val="1"/>
    <w:next w:val="1"/>
    <w:qFormat/>
    <w:uiPriority w:val="39"/>
    <w:pPr>
      <w:ind w:left="630"/>
      <w:jc w:val="left"/>
    </w:pPr>
    <w:rPr>
      <w:rFonts w:ascii="Calibri" w:hAnsi="Calibri" w:cs="Calibri"/>
      <w:sz w:val="18"/>
      <w:szCs w:val="18"/>
    </w:rPr>
  </w:style>
  <w:style w:type="paragraph" w:styleId="29">
    <w:name w:val="toc 6"/>
    <w:basedOn w:val="1"/>
    <w:next w:val="1"/>
    <w:qFormat/>
    <w:uiPriority w:val="39"/>
    <w:pPr>
      <w:ind w:left="1050"/>
      <w:jc w:val="left"/>
    </w:pPr>
    <w:rPr>
      <w:rFonts w:ascii="Calibri" w:hAnsi="Calibri" w:cs="Calibri"/>
      <w:sz w:val="18"/>
      <w:szCs w:val="18"/>
    </w:rPr>
  </w:style>
  <w:style w:type="paragraph" w:styleId="30">
    <w:name w:val="Body Text Indent 3"/>
    <w:basedOn w:val="1"/>
    <w:link w:val="98"/>
    <w:qFormat/>
    <w:uiPriority w:val="0"/>
    <w:pPr>
      <w:spacing w:after="120"/>
      <w:ind w:left="420" w:leftChars="200"/>
    </w:pPr>
    <w:rPr>
      <w:sz w:val="16"/>
      <w:szCs w:val="16"/>
    </w:rPr>
  </w:style>
  <w:style w:type="paragraph" w:styleId="31">
    <w:name w:val="toc 2"/>
    <w:basedOn w:val="1"/>
    <w:next w:val="1"/>
    <w:qFormat/>
    <w:uiPriority w:val="39"/>
    <w:pPr>
      <w:spacing w:before="120" w:after="120"/>
      <w:ind w:left="210"/>
      <w:jc w:val="left"/>
    </w:pPr>
    <w:rPr>
      <w:rFonts w:ascii="Calibri" w:hAnsi="Calibri" w:cs="Calibri"/>
      <w:smallCaps/>
      <w:szCs w:val="20"/>
    </w:rPr>
  </w:style>
  <w:style w:type="paragraph" w:styleId="32">
    <w:name w:val="toc 9"/>
    <w:basedOn w:val="1"/>
    <w:next w:val="1"/>
    <w:qFormat/>
    <w:uiPriority w:val="39"/>
    <w:pPr>
      <w:ind w:left="1680"/>
      <w:jc w:val="left"/>
    </w:pPr>
    <w:rPr>
      <w:rFonts w:ascii="Calibri" w:hAnsi="Calibri" w:cs="Calibri"/>
      <w:sz w:val="18"/>
      <w:szCs w:val="18"/>
    </w:rPr>
  </w:style>
  <w:style w:type="paragraph" w:styleId="33">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Cs w:val="20"/>
    </w:rPr>
  </w:style>
  <w:style w:type="paragraph" w:styleId="34">
    <w:name w:val="Normal (Web)"/>
    <w:basedOn w:val="1"/>
    <w:qFormat/>
    <w:uiPriority w:val="0"/>
    <w:pPr>
      <w:widowControl/>
      <w:spacing w:before="100" w:beforeAutospacing="1" w:after="100" w:afterAutospacing="1"/>
      <w:jc w:val="left"/>
    </w:pPr>
    <w:rPr>
      <w:rFonts w:ascii="宋体" w:hAnsi="宋体"/>
      <w:sz w:val="24"/>
    </w:rPr>
  </w:style>
  <w:style w:type="paragraph" w:styleId="35">
    <w:name w:val="Title"/>
    <w:basedOn w:val="1"/>
    <w:next w:val="1"/>
    <w:link w:val="131"/>
    <w:qFormat/>
    <w:uiPriority w:val="0"/>
    <w:pPr>
      <w:widowControl/>
      <w:shd w:val="clear" w:color="auto" w:fill="FFFFFF"/>
      <w:tabs>
        <w:tab w:val="left" w:pos="426"/>
      </w:tabs>
      <w:adjustRightInd/>
      <w:snapToGrid w:val="0"/>
      <w:spacing w:line="360" w:lineRule="auto"/>
      <w:jc w:val="left"/>
      <w:textAlignment w:val="auto"/>
    </w:pPr>
    <w:rPr>
      <w:rFonts w:ascii="Calibri" w:hAnsi="Calibri"/>
      <w:bCs/>
      <w:kern w:val="2"/>
      <w:sz w:val="28"/>
    </w:rPr>
  </w:style>
  <w:style w:type="paragraph" w:styleId="36">
    <w:name w:val="annotation subject"/>
    <w:basedOn w:val="14"/>
    <w:next w:val="14"/>
    <w:link w:val="88"/>
    <w:semiHidden/>
    <w:qFormat/>
    <w:uiPriority w:val="0"/>
    <w:rPr>
      <w:b/>
      <w:bCs/>
    </w:rPr>
  </w:style>
  <w:style w:type="paragraph" w:styleId="37">
    <w:name w:val="Body Text First Indent"/>
    <w:basedOn w:val="16"/>
    <w:link w:val="112"/>
    <w:unhideWhenUsed/>
    <w:qFormat/>
    <w:uiPriority w:val="99"/>
    <w:pPr>
      <w:ind w:firstLine="420" w:firstLineChars="1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qFormat/>
    <w:uiPriority w:val="0"/>
  </w:style>
  <w:style w:type="character" w:styleId="43">
    <w:name w:val="FollowedHyperlink"/>
    <w:basedOn w:val="40"/>
    <w:semiHidden/>
    <w:unhideWhenUsed/>
    <w:qFormat/>
    <w:uiPriority w:val="99"/>
    <w:rPr>
      <w:color w:val="800080" w:themeColor="followedHyperlink"/>
      <w:u w:val="single"/>
      <w14:textFill>
        <w14:solidFill>
          <w14:schemeClr w14:val="folHlink"/>
        </w14:solidFill>
      </w14:textFill>
    </w:rPr>
  </w:style>
  <w:style w:type="character" w:styleId="44">
    <w:name w:val="Emphasis"/>
    <w:qFormat/>
    <w:uiPriority w:val="0"/>
    <w:rPr>
      <w:color w:val="CC0000"/>
    </w:rPr>
  </w:style>
  <w:style w:type="character" w:styleId="45">
    <w:name w:val="Hyperlink"/>
    <w:qFormat/>
    <w:uiPriority w:val="99"/>
    <w:rPr>
      <w:rFonts w:eastAsia="宋体"/>
      <w:color w:val="0000FF"/>
      <w:sz w:val="28"/>
      <w:u w:val="single"/>
    </w:rPr>
  </w:style>
  <w:style w:type="character" w:styleId="46">
    <w:name w:val="annotation reference"/>
    <w:qFormat/>
    <w:uiPriority w:val="99"/>
    <w:rPr>
      <w:sz w:val="21"/>
      <w:szCs w:val="21"/>
    </w:rPr>
  </w:style>
  <w:style w:type="character" w:customStyle="1" w:styleId="47">
    <w:name w:val="标题 1 Char"/>
    <w:basedOn w:val="40"/>
    <w:link w:val="2"/>
    <w:qFormat/>
    <w:uiPriority w:val="0"/>
    <w:rPr>
      <w:rFonts w:ascii="Times New Roman" w:hAnsi="Times New Roman" w:eastAsia="宋体" w:cs="Times New Roman"/>
      <w:b/>
      <w:bCs/>
      <w:kern w:val="0"/>
      <w:sz w:val="24"/>
      <w:szCs w:val="24"/>
    </w:rPr>
  </w:style>
  <w:style w:type="character" w:customStyle="1" w:styleId="48">
    <w:name w:val="标题 2 Char"/>
    <w:basedOn w:val="40"/>
    <w:link w:val="3"/>
    <w:qFormat/>
    <w:uiPriority w:val="0"/>
    <w:rPr>
      <w:rFonts w:ascii="Arial" w:hAnsi="Arial" w:eastAsia="黑体" w:cs="Times New Roman"/>
      <w:b/>
      <w:bCs/>
      <w:kern w:val="0"/>
      <w:sz w:val="32"/>
      <w:szCs w:val="32"/>
    </w:rPr>
  </w:style>
  <w:style w:type="character" w:customStyle="1" w:styleId="49">
    <w:name w:val="标题 3 Char"/>
    <w:basedOn w:val="40"/>
    <w:link w:val="4"/>
    <w:qFormat/>
    <w:uiPriority w:val="0"/>
    <w:rPr>
      <w:rFonts w:ascii="楷体_GB2312" w:hAnsi="宋体" w:eastAsia="楷体_GB2312" w:cs="Times New Roman"/>
      <w:b/>
      <w:bCs/>
      <w:kern w:val="0"/>
      <w:sz w:val="32"/>
      <w:szCs w:val="24"/>
    </w:rPr>
  </w:style>
  <w:style w:type="character" w:customStyle="1" w:styleId="50">
    <w:name w:val="标题 4 Char"/>
    <w:basedOn w:val="40"/>
    <w:link w:val="5"/>
    <w:qFormat/>
    <w:uiPriority w:val="0"/>
    <w:rPr>
      <w:rFonts w:ascii="Arial" w:hAnsi="Arial" w:eastAsia="黑体" w:cs="Times New Roman"/>
      <w:b/>
      <w:bCs/>
      <w:kern w:val="0"/>
      <w:sz w:val="28"/>
      <w:szCs w:val="28"/>
    </w:rPr>
  </w:style>
  <w:style w:type="character" w:customStyle="1" w:styleId="51">
    <w:name w:val="标题 5 Char"/>
    <w:basedOn w:val="40"/>
    <w:link w:val="6"/>
    <w:qFormat/>
    <w:uiPriority w:val="0"/>
    <w:rPr>
      <w:rFonts w:ascii="Times New Roman" w:hAnsi="Times New Roman" w:eastAsia="宋体" w:cs="Times New Roman"/>
      <w:b/>
      <w:bCs/>
      <w:kern w:val="0"/>
      <w:sz w:val="28"/>
      <w:szCs w:val="28"/>
    </w:rPr>
  </w:style>
  <w:style w:type="character" w:customStyle="1" w:styleId="52">
    <w:name w:val="标题 6 Char"/>
    <w:basedOn w:val="40"/>
    <w:link w:val="7"/>
    <w:qFormat/>
    <w:uiPriority w:val="0"/>
    <w:rPr>
      <w:rFonts w:ascii="Arial" w:hAnsi="Arial" w:eastAsia="黑体" w:cs="Times New Roman"/>
      <w:b/>
      <w:bCs/>
      <w:kern w:val="0"/>
      <w:sz w:val="24"/>
      <w:szCs w:val="24"/>
    </w:rPr>
  </w:style>
  <w:style w:type="character" w:customStyle="1" w:styleId="53">
    <w:name w:val="标题 7 Char"/>
    <w:basedOn w:val="40"/>
    <w:link w:val="8"/>
    <w:qFormat/>
    <w:uiPriority w:val="0"/>
    <w:rPr>
      <w:rFonts w:ascii="Times New Roman" w:hAnsi="Times New Roman" w:eastAsia="宋体" w:cs="Times New Roman"/>
      <w:b/>
      <w:bCs/>
      <w:kern w:val="0"/>
      <w:sz w:val="24"/>
      <w:szCs w:val="24"/>
    </w:rPr>
  </w:style>
  <w:style w:type="character" w:customStyle="1" w:styleId="54">
    <w:name w:val="标题 8 Char"/>
    <w:basedOn w:val="40"/>
    <w:link w:val="9"/>
    <w:qFormat/>
    <w:uiPriority w:val="0"/>
    <w:rPr>
      <w:rFonts w:ascii="Arial" w:hAnsi="Arial" w:eastAsia="黑体" w:cs="Times New Roman"/>
      <w:kern w:val="0"/>
      <w:sz w:val="24"/>
      <w:szCs w:val="24"/>
    </w:rPr>
  </w:style>
  <w:style w:type="character" w:customStyle="1" w:styleId="55">
    <w:name w:val="标题 9 Char"/>
    <w:basedOn w:val="40"/>
    <w:link w:val="10"/>
    <w:qFormat/>
    <w:uiPriority w:val="0"/>
    <w:rPr>
      <w:rFonts w:ascii="Arial" w:hAnsi="Arial" w:eastAsia="黑体" w:cs="Times New Roman"/>
      <w:kern w:val="0"/>
      <w:sz w:val="20"/>
      <w:szCs w:val="21"/>
    </w:rPr>
  </w:style>
  <w:style w:type="character" w:customStyle="1" w:styleId="56">
    <w:name w:val="页眉 Char"/>
    <w:basedOn w:val="40"/>
    <w:link w:val="26"/>
    <w:qFormat/>
    <w:uiPriority w:val="0"/>
    <w:rPr>
      <w:rFonts w:ascii="Times New Roman" w:hAnsi="Times New Roman" w:eastAsia="宋体" w:cs="Times New Roman"/>
      <w:kern w:val="0"/>
      <w:sz w:val="18"/>
      <w:szCs w:val="18"/>
    </w:rPr>
  </w:style>
  <w:style w:type="character" w:customStyle="1" w:styleId="57">
    <w:name w:val="页脚 Char"/>
    <w:basedOn w:val="40"/>
    <w:link w:val="25"/>
    <w:qFormat/>
    <w:uiPriority w:val="0"/>
    <w:rPr>
      <w:rFonts w:ascii="Times New Roman" w:hAnsi="Times New Roman" w:eastAsia="宋体" w:cs="Times New Roman"/>
      <w:kern w:val="0"/>
      <w:sz w:val="18"/>
      <w:szCs w:val="18"/>
    </w:rPr>
  </w:style>
  <w:style w:type="character" w:customStyle="1" w:styleId="58">
    <w:name w:val="f141"/>
    <w:qFormat/>
    <w:uiPriority w:val="0"/>
    <w:rPr>
      <w:sz w:val="21"/>
      <w:szCs w:val="21"/>
    </w:rPr>
  </w:style>
  <w:style w:type="character" w:customStyle="1" w:styleId="59">
    <w:name w:val="p141"/>
    <w:qFormat/>
    <w:uiPriority w:val="0"/>
    <w:rPr>
      <w:sz w:val="21"/>
      <w:szCs w:val="21"/>
    </w:rPr>
  </w:style>
  <w:style w:type="character" w:customStyle="1" w:styleId="60">
    <w:name w:val="批注框文本 Char"/>
    <w:link w:val="24"/>
    <w:qFormat/>
    <w:locked/>
    <w:uiPriority w:val="0"/>
    <w:rPr>
      <w:rFonts w:eastAsia="宋体"/>
      <w:sz w:val="18"/>
    </w:rPr>
  </w:style>
  <w:style w:type="character" w:customStyle="1" w:styleId="61">
    <w:name w:val="s10pv000000"/>
    <w:basedOn w:val="40"/>
    <w:qFormat/>
    <w:uiPriority w:val="0"/>
  </w:style>
  <w:style w:type="character" w:customStyle="1" w:styleId="62">
    <w:name w:val="纯文本 Char"/>
    <w:link w:val="20"/>
    <w:qFormat/>
    <w:uiPriority w:val="0"/>
    <w:rPr>
      <w:rFonts w:ascii="宋体" w:hAnsi="Courier New" w:cs="Courier New"/>
      <w:szCs w:val="21"/>
    </w:rPr>
  </w:style>
  <w:style w:type="character" w:customStyle="1" w:styleId="63">
    <w:name w:val="批注文字 Char"/>
    <w:link w:val="14"/>
    <w:qFormat/>
    <w:uiPriority w:val="99"/>
    <w:rPr>
      <w:szCs w:val="24"/>
    </w:rPr>
  </w:style>
  <w:style w:type="paragraph" w:customStyle="1" w:styleId="64">
    <w:name w:val="样式 标题 4 + 段前: 5 磅 段后: 5 磅 行距: 单倍行距"/>
    <w:basedOn w:val="5"/>
    <w:qFormat/>
    <w:uiPriority w:val="0"/>
    <w:pPr>
      <w:widowControl w:val="0"/>
      <w:tabs>
        <w:tab w:val="left" w:pos="1680"/>
      </w:tabs>
      <w:spacing w:before="100" w:after="100" w:line="240" w:lineRule="auto"/>
      <w:ind w:left="1680" w:hanging="420"/>
    </w:pPr>
    <w:rPr>
      <w:bCs w:val="0"/>
      <w:szCs w:val="20"/>
    </w:rPr>
  </w:style>
  <w:style w:type="paragraph" w:customStyle="1" w:styleId="65">
    <w:name w:val="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66">
    <w:name w:val="基准标题"/>
    <w:basedOn w:val="16"/>
    <w:next w:val="16"/>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67">
    <w:name w:val="正文文本 Char"/>
    <w:basedOn w:val="40"/>
    <w:link w:val="16"/>
    <w:qFormat/>
    <w:uiPriority w:val="0"/>
    <w:rPr>
      <w:rFonts w:ascii="Times New Roman" w:hAnsi="Times New Roman" w:eastAsia="宋体" w:cs="Times New Roman"/>
      <w:kern w:val="0"/>
      <w:sz w:val="20"/>
      <w:szCs w:val="24"/>
    </w:rPr>
  </w:style>
  <w:style w:type="paragraph" w:customStyle="1" w:styleId="68">
    <w:name w:val="表格"/>
    <w:basedOn w:val="1"/>
    <w:qFormat/>
    <w:uiPriority w:val="0"/>
    <w:pPr>
      <w:spacing w:line="420" w:lineRule="exact"/>
      <w:ind w:left="84" w:leftChars="40"/>
      <w:jc w:val="center"/>
    </w:pPr>
    <w:rPr>
      <w:rFonts w:ascii="宋体" w:hAnsi="宋体"/>
      <w:bCs/>
      <w:spacing w:val="-12"/>
    </w:rPr>
  </w:style>
  <w:style w:type="paragraph" w:customStyle="1" w:styleId="69">
    <w:name w:val="font6"/>
    <w:basedOn w:val="1"/>
    <w:qFormat/>
    <w:uiPriority w:val="0"/>
    <w:pPr>
      <w:widowControl/>
      <w:spacing w:before="100" w:beforeAutospacing="1" w:after="100" w:afterAutospacing="1"/>
      <w:jc w:val="left"/>
    </w:pPr>
    <w:rPr>
      <w:rFonts w:hint="eastAsia" w:ascii="宋体" w:hAnsi="宋体"/>
      <w:sz w:val="24"/>
    </w:rPr>
  </w:style>
  <w:style w:type="paragraph" w:customStyle="1" w:styleId="70">
    <w:name w:val="样式4"/>
    <w:basedOn w:val="1"/>
    <w:qFormat/>
    <w:uiPriority w:val="0"/>
    <w:pPr>
      <w:tabs>
        <w:tab w:val="left" w:pos="2328"/>
      </w:tabs>
      <w:ind w:left="2328" w:hanging="708"/>
    </w:pPr>
  </w:style>
  <w:style w:type="paragraph" w:customStyle="1" w:styleId="71">
    <w:name w:val="font5"/>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72">
    <w:name w:val="3 Char"/>
    <w:basedOn w:val="1"/>
    <w:qFormat/>
    <w:uiPriority w:val="0"/>
    <w:pPr>
      <w:widowControl/>
      <w:spacing w:line="400" w:lineRule="exact"/>
      <w:jc w:val="center"/>
    </w:pPr>
    <w:rPr>
      <w:rFonts w:ascii="Verdana" w:hAnsi="Verdana"/>
      <w:szCs w:val="20"/>
      <w:lang w:eastAsia="en-US"/>
    </w:rPr>
  </w:style>
  <w:style w:type="character" w:customStyle="1" w:styleId="73">
    <w:name w:val="批注文字 Char1"/>
    <w:basedOn w:val="40"/>
    <w:semiHidden/>
    <w:qFormat/>
    <w:uiPriority w:val="99"/>
    <w:rPr>
      <w:rFonts w:ascii="Times New Roman" w:hAnsi="Times New Roman" w:eastAsia="宋体" w:cs="Times New Roman"/>
      <w:kern w:val="0"/>
      <w:sz w:val="20"/>
      <w:szCs w:val="24"/>
    </w:rPr>
  </w:style>
  <w:style w:type="paragraph" w:customStyle="1" w:styleId="74">
    <w:name w:val="样式 标题 2 + 宋体 五号 非加粗 黑色"/>
    <w:basedOn w:val="3"/>
    <w:qFormat/>
    <w:uiPriority w:val="0"/>
    <w:pPr>
      <w:tabs>
        <w:tab w:val="left" w:pos="840"/>
      </w:tabs>
      <w:spacing w:line="416" w:lineRule="atLeast"/>
      <w:ind w:left="840" w:hanging="420"/>
      <w:jc w:val="left"/>
    </w:pPr>
    <w:rPr>
      <w:rFonts w:ascii="宋体" w:hAnsi="宋体" w:eastAsia="宋体"/>
      <w:b w:val="0"/>
      <w:bCs w:val="0"/>
      <w:color w:val="000000"/>
      <w:sz w:val="21"/>
      <w:szCs w:val="20"/>
    </w:rPr>
  </w:style>
  <w:style w:type="paragraph" w:customStyle="1" w:styleId="75">
    <w:name w:val="xl29"/>
    <w:basedOn w:val="1"/>
    <w:qFormat/>
    <w:uiPriority w:val="0"/>
    <w:pPr>
      <w:widowControl/>
      <w:spacing w:before="100" w:beforeAutospacing="1" w:after="100" w:afterAutospacing="1"/>
      <w:jc w:val="center"/>
    </w:pPr>
    <w:rPr>
      <w:rFonts w:ascii="宋体" w:hAnsi="宋体"/>
      <w:sz w:val="28"/>
      <w:szCs w:val="28"/>
    </w:rPr>
  </w:style>
  <w:style w:type="paragraph" w:customStyle="1" w:styleId="76">
    <w:name w:val="图"/>
    <w:basedOn w:val="1"/>
    <w:qFormat/>
    <w:uiPriority w:val="0"/>
    <w:pPr>
      <w:keepNext/>
      <w:spacing w:before="60" w:after="60" w:line="300" w:lineRule="auto"/>
      <w:jc w:val="center"/>
      <w:textAlignment w:val="center"/>
    </w:pPr>
    <w:rPr>
      <w:snapToGrid w:val="0"/>
      <w:spacing w:val="20"/>
      <w:sz w:val="24"/>
      <w:szCs w:val="20"/>
    </w:rPr>
  </w:style>
  <w:style w:type="character" w:customStyle="1" w:styleId="77">
    <w:name w:val="正文文本缩进 Char"/>
    <w:basedOn w:val="40"/>
    <w:link w:val="17"/>
    <w:qFormat/>
    <w:uiPriority w:val="0"/>
    <w:rPr>
      <w:rFonts w:ascii="Times New Roman" w:hAnsi="Times New Roman" w:eastAsia="宋体" w:cs="Times New Roman"/>
      <w:kern w:val="0"/>
      <w:sz w:val="24"/>
      <w:szCs w:val="24"/>
    </w:rPr>
  </w:style>
  <w:style w:type="paragraph" w:customStyle="1" w:styleId="78">
    <w:name w:val="设计方案"/>
    <w:basedOn w:val="1"/>
    <w:qFormat/>
    <w:uiPriority w:val="0"/>
    <w:pPr>
      <w:widowControl/>
      <w:tabs>
        <w:tab w:val="left" w:pos="425"/>
      </w:tabs>
      <w:spacing w:after="160" w:line="240" w:lineRule="exact"/>
      <w:ind w:left="425" w:hanging="425"/>
      <w:jc w:val="left"/>
    </w:pPr>
    <w:rPr>
      <w:rFonts w:ascii="Verdana" w:hAnsi="Verdana"/>
      <w:szCs w:val="20"/>
      <w:lang w:eastAsia="en-US"/>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sz w:val="24"/>
    </w:rPr>
  </w:style>
  <w:style w:type="paragraph" w:customStyle="1" w:styleId="80">
    <w:name w:val="样式1"/>
    <w:basedOn w:val="1"/>
    <w:qFormat/>
    <w:uiPriority w:val="0"/>
    <w:pPr>
      <w:tabs>
        <w:tab w:val="left" w:pos="425"/>
        <w:tab w:val="left" w:pos="709"/>
      </w:tabs>
      <w:ind w:left="425" w:hanging="425"/>
    </w:pPr>
    <w:rPr>
      <w:rFonts w:ascii="宋体" w:hAnsi="宋体"/>
      <w:szCs w:val="20"/>
    </w:rPr>
  </w:style>
  <w:style w:type="character" w:customStyle="1" w:styleId="81">
    <w:name w:val="正文文本 3 Char"/>
    <w:basedOn w:val="40"/>
    <w:link w:val="15"/>
    <w:qFormat/>
    <w:uiPriority w:val="0"/>
    <w:rPr>
      <w:rFonts w:ascii="Times New Roman" w:hAnsi="Times New Roman" w:eastAsia="宋体" w:cs="Times New Roman"/>
      <w:kern w:val="0"/>
      <w:sz w:val="16"/>
      <w:szCs w:val="16"/>
    </w:rPr>
  </w:style>
  <w:style w:type="paragraph" w:customStyle="1" w:styleId="82">
    <w:name w:val="head"/>
    <w:basedOn w:val="1"/>
    <w:qFormat/>
    <w:uiPriority w:val="0"/>
    <w:pPr>
      <w:widowControl/>
      <w:spacing w:before="100" w:beforeAutospacing="1" w:after="100" w:afterAutospacing="1"/>
      <w:jc w:val="center"/>
    </w:pPr>
    <w:rPr>
      <w:rFonts w:hint="eastAsia" w:ascii="黑体" w:hAnsi="宋体" w:eastAsia="黑体"/>
      <w:b/>
      <w:bCs/>
      <w:sz w:val="28"/>
      <w:szCs w:val="28"/>
    </w:rPr>
  </w:style>
  <w:style w:type="paragraph" w:styleId="83">
    <w:name w:val="List Paragraph"/>
    <w:basedOn w:val="1"/>
    <w:link w:val="84"/>
    <w:qFormat/>
    <w:uiPriority w:val="34"/>
    <w:pPr>
      <w:ind w:firstLine="420" w:firstLineChars="200"/>
    </w:pPr>
  </w:style>
  <w:style w:type="character" w:customStyle="1" w:styleId="84">
    <w:name w:val="列出段落 Char"/>
    <w:link w:val="83"/>
    <w:qFormat/>
    <w:uiPriority w:val="34"/>
    <w:rPr>
      <w:rFonts w:ascii="Times New Roman" w:hAnsi="Times New Roman" w:eastAsia="宋体" w:cs="Times New Roman"/>
      <w:kern w:val="0"/>
      <w:sz w:val="20"/>
      <w:szCs w:val="24"/>
    </w:rPr>
  </w:style>
  <w:style w:type="paragraph" w:customStyle="1" w:styleId="85">
    <w:name w:val="默认段落字体 Para Char Char Char Char"/>
    <w:basedOn w:val="1"/>
    <w:qFormat/>
    <w:uiPriority w:val="0"/>
    <w:rPr>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87">
    <w:name w:val="font0"/>
    <w:basedOn w:val="1"/>
    <w:qFormat/>
    <w:uiPriority w:val="0"/>
    <w:pPr>
      <w:widowControl/>
      <w:spacing w:before="100" w:beforeAutospacing="1" w:after="100" w:afterAutospacing="1"/>
      <w:jc w:val="left"/>
    </w:pPr>
    <w:rPr>
      <w:rFonts w:hint="eastAsia" w:ascii="宋体" w:hAnsi="宋体"/>
      <w:sz w:val="24"/>
    </w:rPr>
  </w:style>
  <w:style w:type="character" w:customStyle="1" w:styleId="88">
    <w:name w:val="批注主题 Char"/>
    <w:basedOn w:val="73"/>
    <w:link w:val="36"/>
    <w:semiHidden/>
    <w:qFormat/>
    <w:uiPriority w:val="0"/>
    <w:rPr>
      <w:rFonts w:ascii="Times New Roman" w:hAnsi="Times New Roman" w:eastAsia="宋体" w:cs="Times New Roman"/>
      <w:b/>
      <w:bCs/>
      <w:kern w:val="0"/>
      <w:sz w:val="20"/>
      <w:szCs w:val="24"/>
    </w:rPr>
  </w:style>
  <w:style w:type="character" w:customStyle="1" w:styleId="89">
    <w:name w:val="正文缩进 Char"/>
    <w:link w:val="12"/>
    <w:qFormat/>
    <w:uiPriority w:val="0"/>
    <w:rPr>
      <w:rFonts w:ascii="Times New Roman" w:hAnsi="Times New Roman" w:eastAsia="宋体" w:cs="Times New Roman"/>
      <w:kern w:val="0"/>
      <w:sz w:val="20"/>
      <w:szCs w:val="21"/>
    </w:rPr>
  </w:style>
  <w:style w:type="character" w:customStyle="1" w:styleId="90">
    <w:name w:val="文档结构图 Char"/>
    <w:basedOn w:val="40"/>
    <w:link w:val="13"/>
    <w:qFormat/>
    <w:uiPriority w:val="0"/>
    <w:rPr>
      <w:rFonts w:ascii="Times New Roman" w:hAnsi="Times New Roman" w:eastAsia="宋体" w:cs="Times New Roman"/>
      <w:kern w:val="0"/>
      <w:sz w:val="20"/>
      <w:szCs w:val="20"/>
      <w:shd w:val="clear" w:color="auto" w:fill="000080"/>
    </w:rPr>
  </w:style>
  <w:style w:type="paragraph" w:customStyle="1" w:styleId="91">
    <w:name w:val="Char Char Char Char Char Char Char"/>
    <w:basedOn w:val="1"/>
    <w:qFormat/>
    <w:uiPriority w:val="0"/>
    <w:rPr>
      <w:rFonts w:ascii="Tahoma" w:hAnsi="Tahoma" w:cs="Tahoma"/>
      <w:sz w:val="30"/>
      <w:szCs w:val="30"/>
    </w:rPr>
  </w:style>
  <w:style w:type="paragraph" w:customStyle="1" w:styleId="92">
    <w:name w:val="样式 标题 3h3H3sect1.2.3 + 五号 段前: 6 磅 段后: 6 磅 行距: 单倍行距"/>
    <w:basedOn w:val="4"/>
    <w:qFormat/>
    <w:uiPriority w:val="0"/>
    <w:pPr>
      <w:keepLines/>
      <w:tabs>
        <w:tab w:val="left" w:pos="1260"/>
      </w:tabs>
      <w:spacing w:before="120" w:after="120"/>
      <w:ind w:left="1260" w:hanging="420"/>
      <w:jc w:val="left"/>
    </w:pPr>
    <w:rPr>
      <w:rFonts w:ascii="Times New Roman" w:hAnsi="Times New Roman" w:eastAsia="宋体"/>
      <w:bCs w:val="0"/>
      <w:sz w:val="21"/>
      <w:szCs w:val="20"/>
    </w:rPr>
  </w:style>
  <w:style w:type="character" w:customStyle="1" w:styleId="93">
    <w:name w:val="正文文本缩进 2 Char"/>
    <w:basedOn w:val="40"/>
    <w:link w:val="23"/>
    <w:qFormat/>
    <w:uiPriority w:val="0"/>
    <w:rPr>
      <w:rFonts w:ascii="Times New Roman" w:hAnsi="Times New Roman" w:eastAsia="宋体" w:cs="Times New Roman"/>
      <w:kern w:val="0"/>
      <w:sz w:val="24"/>
      <w:szCs w:val="24"/>
    </w:rPr>
  </w:style>
  <w:style w:type="character" w:customStyle="1" w:styleId="94">
    <w:name w:val="纯文本 Char1"/>
    <w:basedOn w:val="40"/>
    <w:qFormat/>
    <w:uiPriority w:val="0"/>
    <w:rPr>
      <w:rFonts w:ascii="宋体" w:hAnsi="Courier New" w:eastAsia="宋体" w:cs="Courier New"/>
      <w:kern w:val="0"/>
      <w:szCs w:val="21"/>
    </w:rPr>
  </w:style>
  <w:style w:type="character" w:customStyle="1" w:styleId="95">
    <w:name w:val="日期 Char"/>
    <w:basedOn w:val="40"/>
    <w:link w:val="22"/>
    <w:qFormat/>
    <w:uiPriority w:val="0"/>
    <w:rPr>
      <w:rFonts w:ascii="宋体" w:hAnsi="Times New Roman" w:eastAsia="宋体" w:cs="Times New Roman"/>
      <w:kern w:val="0"/>
      <w:sz w:val="20"/>
      <w:szCs w:val="20"/>
    </w:rPr>
  </w:style>
  <w:style w:type="character" w:customStyle="1" w:styleId="96">
    <w:name w:val="批注框文本 Char1"/>
    <w:basedOn w:val="40"/>
    <w:semiHidden/>
    <w:qFormat/>
    <w:uiPriority w:val="99"/>
    <w:rPr>
      <w:rFonts w:ascii="Times New Roman" w:hAnsi="Times New Roman" w:eastAsia="宋体" w:cs="Times New Roman"/>
      <w:kern w:val="0"/>
      <w:sz w:val="18"/>
      <w:szCs w:val="18"/>
    </w:rPr>
  </w:style>
  <w:style w:type="character" w:customStyle="1" w:styleId="97">
    <w:name w:val="HTML 预设格式 Char"/>
    <w:basedOn w:val="40"/>
    <w:link w:val="33"/>
    <w:qFormat/>
    <w:uiPriority w:val="0"/>
    <w:rPr>
      <w:rFonts w:ascii="黑体" w:hAnsi="Courier New" w:eastAsia="黑体" w:cs="Courier New"/>
      <w:kern w:val="0"/>
      <w:sz w:val="20"/>
      <w:szCs w:val="20"/>
    </w:rPr>
  </w:style>
  <w:style w:type="character" w:customStyle="1" w:styleId="98">
    <w:name w:val="正文文本缩进 3 Char"/>
    <w:basedOn w:val="40"/>
    <w:link w:val="30"/>
    <w:qFormat/>
    <w:uiPriority w:val="0"/>
    <w:rPr>
      <w:rFonts w:ascii="Times New Roman" w:hAnsi="Times New Roman" w:eastAsia="宋体" w:cs="Times New Roman"/>
      <w:kern w:val="0"/>
      <w:sz w:val="16"/>
      <w:szCs w:val="16"/>
    </w:rPr>
  </w:style>
  <w:style w:type="paragraph" w:customStyle="1" w:styleId="99">
    <w:name w:val="Char1 Char Char Char"/>
    <w:basedOn w:val="1"/>
    <w:qFormat/>
    <w:uiPriority w:val="0"/>
    <w:rPr>
      <w:szCs w:val="20"/>
    </w:rPr>
  </w:style>
  <w:style w:type="paragraph" w:customStyle="1" w:styleId="100">
    <w:name w:val="Char1"/>
    <w:basedOn w:val="1"/>
    <w:qFormat/>
    <w:uiPriority w:val="0"/>
    <w:pPr>
      <w:widowControl/>
      <w:spacing w:after="160" w:line="240" w:lineRule="exact"/>
      <w:jc w:val="left"/>
    </w:pPr>
    <w:rPr>
      <w:sz w:val="24"/>
    </w:rPr>
  </w:style>
  <w:style w:type="paragraph" w:customStyle="1" w:styleId="101">
    <w:name w:val="默认段落字体 Para Char"/>
    <w:basedOn w:val="1"/>
    <w:qFormat/>
    <w:uiPriority w:val="0"/>
  </w:style>
  <w:style w:type="paragraph" w:customStyle="1" w:styleId="102">
    <w:name w:val="Char1 Char Char Char Char Char Char Char Char Char"/>
    <w:basedOn w:val="1"/>
    <w:qFormat/>
    <w:uiPriority w:val="0"/>
    <w:pPr>
      <w:widowControl/>
      <w:spacing w:line="400" w:lineRule="exact"/>
      <w:jc w:val="center"/>
    </w:pPr>
    <w:rPr>
      <w:rFonts w:ascii="Verdana" w:hAnsi="Verdana"/>
      <w:szCs w:val="20"/>
      <w:lang w:eastAsia="en-US"/>
    </w:rPr>
  </w:style>
  <w:style w:type="paragraph" w:customStyle="1" w:styleId="103">
    <w:name w:val="TOC 标题1"/>
    <w:basedOn w:val="2"/>
    <w:next w:val="1"/>
    <w:qFormat/>
    <w:uiPriority w:val="39"/>
    <w:pPr>
      <w:keepLines/>
      <w:spacing w:before="480" w:line="276" w:lineRule="auto"/>
      <w:outlineLvl w:val="9"/>
    </w:pPr>
    <w:rPr>
      <w:rFonts w:ascii="Cambria" w:hAnsi="Cambria"/>
      <w:color w:val="365F91"/>
      <w:sz w:val="28"/>
      <w:szCs w:val="28"/>
    </w:rPr>
  </w:style>
  <w:style w:type="paragraph" w:customStyle="1" w:styleId="104">
    <w:name w:val="Default"/>
    <w:qFormat/>
    <w:uiPriority w:val="0"/>
    <w:pPr>
      <w:widowControl w:val="0"/>
      <w:autoSpaceDE w:val="0"/>
      <w:autoSpaceDN w:val="0"/>
      <w:adjustRightInd w:val="0"/>
      <w:spacing w:line="360" w:lineRule="atLeast"/>
      <w:jc w:val="both"/>
      <w:textAlignment w:val="baseline"/>
    </w:pPr>
    <w:rPr>
      <w:rFonts w:ascii="宋体" w:hAnsi="Calibri" w:eastAsia="宋体" w:cs="Times New Roman"/>
      <w:color w:val="000000"/>
      <w:sz w:val="24"/>
      <w:szCs w:val="24"/>
      <w:lang w:val="en-US" w:eastAsia="zh-CN" w:bidi="ar-SA"/>
    </w:rPr>
  </w:style>
  <w:style w:type="paragraph" w:customStyle="1" w:styleId="105">
    <w:name w:val="普通(网站)1"/>
    <w:basedOn w:val="1"/>
    <w:qFormat/>
    <w:uiPriority w:val="0"/>
    <w:pPr>
      <w:widowControl/>
      <w:spacing w:before="100" w:beforeAutospacing="1" w:after="100" w:afterAutospacing="1"/>
      <w:jc w:val="left"/>
    </w:pPr>
    <w:rPr>
      <w:rFonts w:ascii="宋体" w:hAnsi="宋体"/>
      <w:sz w:val="24"/>
    </w:rPr>
  </w:style>
  <w:style w:type="paragraph" w:customStyle="1" w:styleId="106">
    <w:name w:val="Char Char2 Char"/>
    <w:basedOn w:val="1"/>
    <w:qFormat/>
    <w:uiPriority w:val="0"/>
    <w:rPr>
      <w:rFonts w:ascii="宋体" w:hAnsi="宋体"/>
      <w:b/>
      <w:sz w:val="28"/>
      <w:szCs w:val="28"/>
    </w:rPr>
  </w:style>
  <w:style w:type="paragraph" w:customStyle="1" w:styleId="107">
    <w:name w:val="Char Char Char"/>
    <w:basedOn w:val="1"/>
    <w:qFormat/>
    <w:uiPriority w:val="0"/>
    <w:rPr>
      <w:rFonts w:ascii="宋体" w:hAnsi="宋体"/>
      <w:b/>
      <w:sz w:val="28"/>
      <w:szCs w:val="28"/>
    </w:rPr>
  </w:style>
  <w:style w:type="paragraph" w:customStyle="1" w:styleId="108">
    <w:name w:val="Char2"/>
    <w:basedOn w:val="1"/>
    <w:qFormat/>
    <w:uiPriority w:val="0"/>
    <w:pPr>
      <w:widowControl/>
      <w:spacing w:after="160" w:line="240" w:lineRule="exact"/>
      <w:jc w:val="left"/>
    </w:pPr>
    <w:rPr>
      <w:szCs w:val="20"/>
    </w:rPr>
  </w:style>
  <w:style w:type="paragraph" w:customStyle="1" w:styleId="109">
    <w:name w:val="a"/>
    <w:basedOn w:val="1"/>
    <w:qFormat/>
    <w:uiPriority w:val="0"/>
    <w:pPr>
      <w:widowControl/>
      <w:spacing w:before="100" w:beforeAutospacing="1" w:after="100" w:afterAutospacing="1"/>
      <w:jc w:val="left"/>
    </w:pPr>
    <w:rPr>
      <w:rFonts w:ascii="宋体" w:hAnsi="宋体" w:cs="宋体"/>
      <w:sz w:val="24"/>
    </w:rPr>
  </w:style>
  <w:style w:type="character" w:customStyle="1" w:styleId="110">
    <w:name w:val="明显参考1"/>
    <w:qFormat/>
    <w:uiPriority w:val="32"/>
    <w:rPr>
      <w:b/>
      <w:bCs/>
      <w:smallCaps/>
      <w:color w:val="C0504D"/>
      <w:spacing w:val="5"/>
      <w:u w:val="single"/>
    </w:rPr>
  </w:style>
  <w:style w:type="character" w:customStyle="1" w:styleId="111">
    <w:name w:val="apple-converted-space"/>
    <w:basedOn w:val="40"/>
    <w:qFormat/>
    <w:uiPriority w:val="0"/>
  </w:style>
  <w:style w:type="character" w:customStyle="1" w:styleId="112">
    <w:name w:val="正文首行缩进 Char"/>
    <w:basedOn w:val="67"/>
    <w:link w:val="37"/>
    <w:qFormat/>
    <w:uiPriority w:val="99"/>
    <w:rPr>
      <w:rFonts w:ascii="Times New Roman" w:hAnsi="Times New Roman" w:eastAsia="宋体" w:cs="Times New Roman"/>
      <w:kern w:val="0"/>
      <w:sz w:val="20"/>
      <w:szCs w:val="24"/>
    </w:rPr>
  </w:style>
  <w:style w:type="paragraph" w:customStyle="1" w:styleId="113">
    <w:name w:val="标题 1_0"/>
    <w:next w:val="1"/>
    <w:qFormat/>
    <w:uiPriority w:val="0"/>
    <w:pPr>
      <w:keepNext/>
      <w:keepLines/>
      <w:widowControl w:val="0"/>
      <w:adjustRightInd w:val="0"/>
      <w:spacing w:line="360" w:lineRule="auto"/>
      <w:jc w:val="both"/>
      <w:textAlignment w:val="baseline"/>
      <w:outlineLvl w:val="0"/>
    </w:pPr>
    <w:rPr>
      <w:rFonts w:ascii="Cambria Math" w:hAnsi="Cambria Math" w:eastAsia="宋体" w:cs="Times New Roman"/>
      <w:b/>
      <w:bCs/>
      <w:kern w:val="44"/>
      <w:sz w:val="24"/>
      <w:szCs w:val="44"/>
      <w:lang w:val="en-US" w:eastAsia="zh-CN" w:bidi="ar-SA"/>
    </w:rPr>
  </w:style>
  <w:style w:type="paragraph" w:customStyle="1" w:styleId="114">
    <w:name w:val="标题 2_0"/>
    <w:basedOn w:val="1"/>
    <w:next w:val="1"/>
    <w:qFormat/>
    <w:uiPriority w:val="0"/>
    <w:pPr>
      <w:keepNext/>
      <w:keepLines/>
      <w:tabs>
        <w:tab w:val="left" w:pos="576"/>
      </w:tabs>
      <w:spacing w:line="360" w:lineRule="auto"/>
      <w:jc w:val="left"/>
      <w:outlineLvl w:val="1"/>
    </w:pPr>
    <w:rPr>
      <w:rFonts w:ascii="宋体" w:hAnsi="宋体"/>
      <w:b/>
      <w:bCs/>
      <w:sz w:val="24"/>
      <w:szCs w:val="36"/>
    </w:rPr>
  </w:style>
  <w:style w:type="paragraph" w:customStyle="1" w:styleId="115">
    <w:name w:val="标题 3_0"/>
    <w:basedOn w:val="1"/>
    <w:next w:val="1"/>
    <w:qFormat/>
    <w:uiPriority w:val="0"/>
    <w:pPr>
      <w:keepNext/>
      <w:keepLines/>
      <w:snapToGrid w:val="0"/>
      <w:spacing w:line="360" w:lineRule="auto"/>
      <w:jc w:val="left"/>
      <w:outlineLvl w:val="2"/>
    </w:pPr>
    <w:rPr>
      <w:rFonts w:ascii="宋体" w:hAnsi="宋体"/>
      <w:b/>
      <w:bCs/>
      <w:sz w:val="24"/>
      <w:szCs w:val="32"/>
    </w:rPr>
  </w:style>
  <w:style w:type="paragraph" w:customStyle="1" w:styleId="116">
    <w:name w:val="标题 5_0"/>
    <w:basedOn w:val="1"/>
    <w:next w:val="1"/>
    <w:qFormat/>
    <w:uiPriority w:val="9"/>
    <w:pPr>
      <w:keepNext/>
      <w:keepLines/>
      <w:spacing w:line="360" w:lineRule="auto"/>
      <w:jc w:val="left"/>
      <w:outlineLvl w:val="4"/>
    </w:pPr>
    <w:rPr>
      <w:rFonts w:ascii="宋体" w:hAnsi="宋体" w:cs="Cambria Math"/>
      <w:b/>
      <w:bCs/>
      <w:sz w:val="24"/>
      <w:szCs w:val="28"/>
    </w:rPr>
  </w:style>
  <w:style w:type="paragraph" w:customStyle="1" w:styleId="117">
    <w:name w:val="标题 6_0"/>
    <w:basedOn w:val="1"/>
    <w:next w:val="1"/>
    <w:qFormat/>
    <w:uiPriority w:val="9"/>
    <w:pPr>
      <w:keepNext/>
      <w:keepLines/>
      <w:spacing w:line="360" w:lineRule="auto"/>
      <w:jc w:val="left"/>
      <w:outlineLvl w:val="5"/>
    </w:pPr>
    <w:rPr>
      <w:rFonts w:ascii="Bodoni MT Condensed" w:hAnsi="Bodoni MT Condensed" w:cs="Cambria Math"/>
      <w:b/>
      <w:bCs/>
      <w:sz w:val="24"/>
    </w:rPr>
  </w:style>
  <w:style w:type="paragraph" w:customStyle="1" w:styleId="118">
    <w:name w:val="标题 7_0"/>
    <w:basedOn w:val="1"/>
    <w:next w:val="1"/>
    <w:qFormat/>
    <w:uiPriority w:val="9"/>
    <w:pPr>
      <w:keepNext/>
      <w:keepLines/>
      <w:spacing w:before="240" w:after="64" w:line="319" w:lineRule="auto"/>
      <w:outlineLvl w:val="6"/>
    </w:pPr>
    <w:rPr>
      <w:rFonts w:ascii="Cambria Math" w:hAnsi="Cambria Math" w:cs="Cambria Math"/>
      <w:b/>
      <w:bCs/>
      <w:sz w:val="24"/>
    </w:rPr>
  </w:style>
  <w:style w:type="paragraph" w:customStyle="1" w:styleId="119">
    <w:name w:val="标题 8_0"/>
    <w:basedOn w:val="1"/>
    <w:next w:val="1"/>
    <w:qFormat/>
    <w:uiPriority w:val="0"/>
    <w:pPr>
      <w:keepNext/>
      <w:keepLines/>
      <w:numPr>
        <w:ilvl w:val="7"/>
        <w:numId w:val="1"/>
      </w:numPr>
      <w:spacing w:before="240" w:after="64" w:line="319" w:lineRule="auto"/>
      <w:outlineLvl w:val="7"/>
    </w:pPr>
    <w:rPr>
      <w:rFonts w:ascii="Bodoni MT Condensed" w:hAnsi="Bodoni MT Condensed" w:cs="Cambria Math"/>
      <w:sz w:val="24"/>
    </w:rPr>
  </w:style>
  <w:style w:type="paragraph" w:customStyle="1" w:styleId="120">
    <w:name w:val="标题 9_0"/>
    <w:basedOn w:val="1"/>
    <w:next w:val="1"/>
    <w:qFormat/>
    <w:uiPriority w:val="0"/>
    <w:pPr>
      <w:keepNext/>
      <w:keepLines/>
      <w:numPr>
        <w:ilvl w:val="8"/>
        <w:numId w:val="1"/>
      </w:numPr>
      <w:spacing w:before="240" w:after="64" w:line="319" w:lineRule="auto"/>
      <w:outlineLvl w:val="8"/>
    </w:pPr>
    <w:rPr>
      <w:rFonts w:ascii="Bodoni MT Condensed" w:hAnsi="Bodoni MT Condensed" w:cs="Cambria Math"/>
      <w:sz w:val="24"/>
      <w:szCs w:val="21"/>
    </w:rPr>
  </w:style>
  <w:style w:type="paragraph" w:customStyle="1" w:styleId="121">
    <w:name w:val="正文_0_0"/>
    <w:qFormat/>
    <w:uiPriority w:val="0"/>
    <w:pPr>
      <w:widowControl w:val="0"/>
      <w:adjustRightInd w:val="0"/>
      <w:spacing w:line="360" w:lineRule="auto"/>
      <w:ind w:firstLine="200" w:firstLineChars="200"/>
      <w:jc w:val="both"/>
      <w:textAlignment w:val="baseline"/>
    </w:pPr>
    <w:rPr>
      <w:rFonts w:ascii="Cambria Math" w:hAnsi="Cambria Math" w:eastAsia="宋体" w:cs="Times New Roman"/>
      <w:sz w:val="24"/>
      <w:szCs w:val="24"/>
      <w:lang w:val="en-US" w:eastAsia="zh-CN" w:bidi="ar-SA"/>
    </w:rPr>
  </w:style>
  <w:style w:type="paragraph" w:customStyle="1" w:styleId="122">
    <w:name w:val="正文_1"/>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123">
    <w:name w:val="正文_2"/>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customStyle="1" w:styleId="124">
    <w:name w:val="p141_0"/>
    <w:qFormat/>
    <w:uiPriority w:val="0"/>
    <w:rPr>
      <w:rFonts w:ascii="Calibri" w:hAnsi="Calibri"/>
      <w:sz w:val="21"/>
      <w:szCs w:val="21"/>
    </w:rPr>
  </w:style>
  <w:style w:type="paragraph" w:customStyle="1" w:styleId="125">
    <w:name w:val="正文1"/>
    <w:qFormat/>
    <w:uiPriority w:val="0"/>
    <w:pPr>
      <w:widowControl w:val="0"/>
      <w:adjustRightInd w:val="0"/>
      <w:spacing w:line="360" w:lineRule="atLeast"/>
      <w:jc w:val="both"/>
      <w:textAlignment w:val="baseline"/>
    </w:pPr>
    <w:rPr>
      <w:rFonts w:hint="eastAsia" w:ascii="Calibri" w:hAnsi="Calibri" w:eastAsia="宋体" w:cs="Times New Roman"/>
      <w:lang w:val="en-US" w:eastAsia="zh-CN" w:bidi="ar-SA"/>
    </w:rPr>
  </w:style>
  <w:style w:type="paragraph" w:customStyle="1" w:styleId="126">
    <w:name w:val="Normal_13"/>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127">
    <w:name w:val="样式1_1"/>
    <w:basedOn w:val="1"/>
    <w:link w:val="128"/>
    <w:qFormat/>
    <w:uiPriority w:val="0"/>
    <w:pPr>
      <w:keepNext/>
      <w:keepLines/>
      <w:widowControl/>
      <w:tabs>
        <w:tab w:val="left" w:pos="420"/>
      </w:tabs>
      <w:snapToGrid w:val="0"/>
      <w:spacing w:line="360" w:lineRule="auto"/>
      <w:ind w:left="420" w:hanging="420"/>
      <w:jc w:val="center"/>
      <w:outlineLvl w:val="1"/>
    </w:pPr>
    <w:rPr>
      <w:rFonts w:ascii="宋体" w:hAnsi="Arial"/>
      <w:b/>
      <w:sz w:val="32"/>
      <w:szCs w:val="20"/>
    </w:rPr>
  </w:style>
  <w:style w:type="character" w:customStyle="1" w:styleId="128">
    <w:name w:val="样式1 Char_1"/>
    <w:link w:val="127"/>
    <w:qFormat/>
    <w:uiPriority w:val="0"/>
    <w:rPr>
      <w:rFonts w:ascii="宋体" w:hAnsi="Arial" w:eastAsia="宋体" w:cs="Times New Roman"/>
      <w:b/>
      <w:kern w:val="0"/>
      <w:sz w:val="32"/>
      <w:szCs w:val="20"/>
    </w:rPr>
  </w:style>
  <w:style w:type="paragraph" w:customStyle="1" w:styleId="129">
    <w:name w:val="正文_14"/>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table" w:customStyle="1" w:styleId="130">
    <w:name w:val="网格型1"/>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标题 Char"/>
    <w:basedOn w:val="40"/>
    <w:link w:val="35"/>
    <w:qFormat/>
    <w:uiPriority w:val="0"/>
    <w:rPr>
      <w:rFonts w:ascii="Calibri" w:hAnsi="Calibri" w:eastAsia="宋体" w:cs="Times New Roman"/>
      <w:bCs/>
      <w:sz w:val="28"/>
      <w:szCs w:val="24"/>
      <w:shd w:val="clear" w:color="auto" w:fill="FFFFFF"/>
    </w:rPr>
  </w:style>
  <w:style w:type="paragraph" w:customStyle="1" w:styleId="132">
    <w:name w:val="_Style 3"/>
    <w:basedOn w:val="1"/>
    <w:qFormat/>
    <w:uiPriority w:val="0"/>
    <w:pPr>
      <w:widowControl/>
      <w:shd w:val="clear" w:color="auto" w:fill="FFFFFF"/>
      <w:tabs>
        <w:tab w:val="left" w:pos="426"/>
      </w:tabs>
      <w:snapToGrid w:val="0"/>
      <w:spacing w:line="560" w:lineRule="exact"/>
      <w:ind w:firstLine="420" w:firstLineChars="200"/>
      <w:textAlignment w:val="auto"/>
    </w:pPr>
    <w:rPr>
      <w:rFonts w:ascii="Calibri" w:hAnsi="Calibri"/>
      <w:kern w:val="2"/>
      <w:sz w:val="24"/>
    </w:rPr>
  </w:style>
  <w:style w:type="paragraph" w:customStyle="1" w:styleId="133">
    <w:name w:val="_Style 34"/>
    <w:basedOn w:val="1"/>
    <w:next w:val="1"/>
    <w:qFormat/>
    <w:uiPriority w:val="39"/>
    <w:pPr>
      <w:widowControl/>
      <w:shd w:val="clear" w:color="auto" w:fill="FFFFFF"/>
      <w:tabs>
        <w:tab w:val="left" w:pos="426"/>
      </w:tabs>
      <w:snapToGrid w:val="0"/>
      <w:spacing w:line="560" w:lineRule="exact"/>
      <w:ind w:left="420" w:leftChars="200"/>
      <w:textAlignment w:val="auto"/>
    </w:pPr>
    <w:rPr>
      <w:rFonts w:ascii="Calibri" w:hAnsi="Calibri"/>
      <w:kern w:val="2"/>
      <w:sz w:val="28"/>
    </w:rPr>
  </w:style>
  <w:style w:type="paragraph" w:customStyle="1" w:styleId="134">
    <w:name w:val="p0"/>
    <w:basedOn w:val="1"/>
    <w:qFormat/>
    <w:uiPriority w:val="0"/>
    <w:pPr>
      <w:widowControl/>
      <w:shd w:val="clear" w:color="auto" w:fill="FFFFFF"/>
      <w:tabs>
        <w:tab w:val="left" w:pos="426"/>
      </w:tabs>
      <w:snapToGrid w:val="0"/>
      <w:spacing w:line="360" w:lineRule="auto"/>
      <w:textAlignment w:val="auto"/>
    </w:pPr>
    <w:rPr>
      <w:rFonts w:ascii="宋体" w:hAnsi="宋体" w:cs="宋体"/>
      <w:sz w:val="24"/>
      <w:szCs w:val="21"/>
    </w:rPr>
  </w:style>
  <w:style w:type="character" w:customStyle="1" w:styleId="135">
    <w:name w:val="font21"/>
    <w:basedOn w:val="40"/>
    <w:qFormat/>
    <w:uiPriority w:val="0"/>
    <w:rPr>
      <w:rFonts w:hint="default" w:ascii="Calibri" w:hAnsi="Calibri" w:cs="Calibri"/>
      <w:color w:val="000000"/>
      <w:sz w:val="21"/>
      <w:szCs w:val="21"/>
      <w:u w:val="none"/>
    </w:rPr>
  </w:style>
  <w:style w:type="character" w:customStyle="1" w:styleId="136">
    <w:name w:val="font31"/>
    <w:basedOn w:val="40"/>
    <w:qFormat/>
    <w:uiPriority w:val="0"/>
    <w:rPr>
      <w:rFonts w:hint="eastAsia" w:ascii="宋体" w:hAnsi="宋体" w:eastAsia="宋体" w:cs="宋体"/>
      <w:color w:val="000000"/>
      <w:sz w:val="21"/>
      <w:szCs w:val="21"/>
      <w:u w:val="none"/>
    </w:rPr>
  </w:style>
  <w:style w:type="character" w:customStyle="1" w:styleId="137">
    <w:name w:val="font11"/>
    <w:basedOn w:val="40"/>
    <w:qFormat/>
    <w:uiPriority w:val="0"/>
    <w:rPr>
      <w:rFonts w:hint="eastAsia" w:ascii="宋体" w:hAnsi="宋体" w:eastAsia="宋体" w:cs="宋体"/>
      <w:color w:val="000000"/>
      <w:sz w:val="21"/>
      <w:szCs w:val="21"/>
      <w:u w:val="none"/>
    </w:rPr>
  </w:style>
  <w:style w:type="character" w:customStyle="1" w:styleId="138">
    <w:name w:val="font41"/>
    <w:basedOn w:val="40"/>
    <w:qFormat/>
    <w:uiPriority w:val="0"/>
    <w:rPr>
      <w:rFonts w:hint="default" w:ascii="Calibri" w:hAnsi="Calibri" w:cs="Calibri"/>
      <w:color w:val="FF0000"/>
      <w:sz w:val="21"/>
      <w:szCs w:val="21"/>
      <w:u w:val="none"/>
    </w:rPr>
  </w:style>
  <w:style w:type="character" w:customStyle="1" w:styleId="139">
    <w:name w:val="font51"/>
    <w:basedOn w:val="40"/>
    <w:qFormat/>
    <w:uiPriority w:val="0"/>
    <w:rPr>
      <w:rFonts w:hint="eastAsia" w:ascii="宋体" w:hAnsi="宋体" w:eastAsia="宋体" w:cs="宋体"/>
      <w:color w:val="FF0000"/>
      <w:sz w:val="21"/>
      <w:szCs w:val="21"/>
      <w:u w:val="none"/>
    </w:rPr>
  </w:style>
  <w:style w:type="paragraph" w:customStyle="1" w:styleId="140">
    <w:name w:val="正文正"/>
    <w:basedOn w:val="1"/>
    <w:qFormat/>
    <w:uiPriority w:val="0"/>
    <w:pPr>
      <w:autoSpaceDE w:val="0"/>
      <w:autoSpaceDN w:val="0"/>
      <w:spacing w:line="560" w:lineRule="exact"/>
      <w:ind w:firstLine="561"/>
      <w:jc w:val="left"/>
      <w:textAlignment w:val="auto"/>
    </w:pPr>
    <w:rPr>
      <w:rFonts w:ascii="Calibri" w:hAnsi="Calibri"/>
      <w:sz w:val="28"/>
      <w:szCs w:val="28"/>
    </w:rPr>
  </w:style>
  <w:style w:type="character" w:customStyle="1" w:styleId="141">
    <w:name w:val="font01"/>
    <w:basedOn w:val="40"/>
    <w:qFormat/>
    <w:uiPriority w:val="0"/>
    <w:rPr>
      <w:rFonts w:hint="eastAsia" w:ascii="宋体" w:hAnsi="宋体" w:eastAsia="宋体" w:cs="宋体"/>
      <w:color w:val="000000"/>
      <w:sz w:val="24"/>
      <w:szCs w:val="24"/>
      <w:u w:val="none"/>
    </w:rPr>
  </w:style>
  <w:style w:type="character" w:customStyle="1" w:styleId="142">
    <w:name w:val="font61"/>
    <w:basedOn w:val="4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22474</Words>
  <Characters>23016</Characters>
  <Lines>181</Lines>
  <Paragraphs>51</Paragraphs>
  <TotalTime>1</TotalTime>
  <ScaleCrop>false</ScaleCrop>
  <LinksUpToDate>false</LinksUpToDate>
  <CharactersWithSpaces>23142</CharactersWithSpaces>
  <Application>WPS Office_11.8.2.11717_F1E327BC-269C-435d-A152-05C5408002CA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2025-04-09T01:09:00Z</dcterms:created>
  <dc:creator>Administrator</dc:creator>
  <cp:lastModifiedBy>ht706</cp:lastModifiedBy>
  <cp:lastPrinted>2025-04-03T23:26:00Z</cp:lastPrinted>
  <dcterms:modified xsi:type="dcterms:W3CDTF">2025-04-24T11:20:45Z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5853150D73CE40689C6C8FB95667475A_12</vt:lpwstr>
  </property>
  <property fmtid="{D5CDD505-2E9C-101B-9397-08002B2CF9AE}" pid="4" name="KSOTemplateDocerSaveRecord">
    <vt:lpwstr>eyJoZGlkIjoiZWFkOTQ5ODI5Y2M4OTk5NjVkZTNiYWE2NTA0MjY3YWMifQ==</vt:lpwstr>
  </property>
</Properties>
</file>